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8" w:type="dxa"/>
        <w:jc w:val="center"/>
        <w:tblLook w:val="04A0" w:firstRow="1" w:lastRow="0" w:firstColumn="1" w:lastColumn="0" w:noHBand="0" w:noVBand="1"/>
      </w:tblPr>
      <w:tblGrid>
        <w:gridCol w:w="3168"/>
        <w:gridCol w:w="6120"/>
      </w:tblGrid>
      <w:tr w:rsidR="008E4AB1" w:rsidTr="008E4AB1">
        <w:trPr>
          <w:jc w:val="center"/>
        </w:trPr>
        <w:tc>
          <w:tcPr>
            <w:tcW w:w="3168" w:type="dxa"/>
            <w:hideMark/>
          </w:tcPr>
          <w:p w:rsidR="008E4AB1" w:rsidRDefault="008E4AB1">
            <w:pPr>
              <w:pStyle w:val="Heading4"/>
              <w:spacing w:before="60"/>
              <w:rPr>
                <w:rFonts w:ascii="Times New Roman" w:hAnsi="Times New Roman"/>
                <w:sz w:val="24"/>
                <w:szCs w:val="24"/>
                <w:lang w:val="nl-NL" w:eastAsia="en-US"/>
              </w:rPr>
            </w:pPr>
            <w:r>
              <w:rPr>
                <w:b w:val="0"/>
                <w:szCs w:val="28"/>
                <w:lang w:eastAsia="en-US"/>
              </w:rPr>
              <w:t xml:space="preserve">  </w:t>
            </w:r>
            <w:r>
              <w:rPr>
                <w:rFonts w:ascii="Times New Roman" w:hAnsi="Times New Roman"/>
                <w:sz w:val="24"/>
                <w:szCs w:val="24"/>
                <w:lang w:val="nl-NL" w:eastAsia="en-US"/>
              </w:rPr>
              <w:t xml:space="preserve">       BỘ TÀI CHÍNH</w:t>
            </w:r>
          </w:p>
        </w:tc>
        <w:tc>
          <w:tcPr>
            <w:tcW w:w="6120" w:type="dxa"/>
            <w:hideMark/>
          </w:tcPr>
          <w:p w:rsidR="008E4AB1" w:rsidRDefault="008E4AB1">
            <w:pPr>
              <w:pStyle w:val="Heading3"/>
              <w:spacing w:before="60"/>
              <w:rPr>
                <w:rFonts w:ascii="Times New Roman" w:hAnsi="Times New Roman"/>
                <w:sz w:val="24"/>
                <w:lang w:val="nl-NL"/>
              </w:rPr>
            </w:pPr>
            <w:r>
              <w:rPr>
                <w:rFonts w:ascii="Times New Roman" w:hAnsi="Times New Roman"/>
                <w:lang w:val="nl-NL"/>
              </w:rPr>
              <w:t xml:space="preserve">             CỘNG HOÀ XÃ HỘI CHỦ NGHĨA VIỆT NAM</w:t>
            </w:r>
          </w:p>
        </w:tc>
      </w:tr>
      <w:tr w:rsidR="008E4AB1" w:rsidTr="008E4AB1">
        <w:trPr>
          <w:jc w:val="center"/>
        </w:trPr>
        <w:tc>
          <w:tcPr>
            <w:tcW w:w="3168" w:type="dxa"/>
            <w:hideMark/>
          </w:tcPr>
          <w:p w:rsidR="008E4AB1" w:rsidRDefault="008E4AB1">
            <w:pPr>
              <w:rPr>
                <w:sz w:val="28"/>
                <w:szCs w:val="28"/>
                <w:lang w:val="nl-NL"/>
              </w:rPr>
            </w:pPr>
            <w:r>
              <w:rPr>
                <w:noProof/>
              </w:rPr>
              <mc:AlternateContent>
                <mc:Choice Requires="wps">
                  <w:drawing>
                    <wp:anchor distT="0" distB="0" distL="114300" distR="114300" simplePos="0" relativeHeight="251659264" behindDoc="0" locked="0" layoutInCell="1" allowOverlap="1">
                      <wp:simplePos x="0" y="0"/>
                      <wp:positionH relativeFrom="column">
                        <wp:posOffset>619125</wp:posOffset>
                      </wp:positionH>
                      <wp:positionV relativeFrom="paragraph">
                        <wp:posOffset>22225</wp:posOffset>
                      </wp:positionV>
                      <wp:extent cx="457200" cy="0"/>
                      <wp:effectExtent l="9525" t="12700" r="9525" b="63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92C6F" id="Straight Connector 4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1.75pt" to="84.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g1HQ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"/>
                  </w:pict>
                </mc:Fallback>
              </mc:AlternateContent>
            </w:r>
            <w:r>
              <w:rPr>
                <w:sz w:val="28"/>
                <w:szCs w:val="28"/>
                <w:lang w:val="nl-NL"/>
              </w:rPr>
              <w:t xml:space="preserve">  </w:t>
            </w:r>
          </w:p>
        </w:tc>
        <w:tc>
          <w:tcPr>
            <w:tcW w:w="6120" w:type="dxa"/>
            <w:hideMark/>
          </w:tcPr>
          <w:p w:rsidR="008E4AB1" w:rsidRDefault="008E4AB1">
            <w:pPr>
              <w:spacing w:before="60"/>
              <w:jc w:val="center"/>
              <w:rPr>
                <w:b/>
                <w:sz w:val="28"/>
                <w:szCs w:val="28"/>
                <w:lang w:val="nl-NL"/>
              </w:rPr>
            </w:pPr>
            <w:r>
              <w:rPr>
                <w:b/>
                <w:sz w:val="28"/>
                <w:szCs w:val="28"/>
                <w:lang w:val="nl-NL"/>
              </w:rPr>
              <w:t xml:space="preserve">             Độc lập - Tự do - Hạnh phúc</w:t>
            </w:r>
          </w:p>
        </w:tc>
      </w:tr>
      <w:tr w:rsidR="008E4AB1" w:rsidTr="008E4AB1">
        <w:trPr>
          <w:jc w:val="center"/>
        </w:trPr>
        <w:tc>
          <w:tcPr>
            <w:tcW w:w="3168" w:type="dxa"/>
            <w:hideMark/>
          </w:tcPr>
          <w:p w:rsidR="008E4AB1" w:rsidRDefault="008E4AB1">
            <w:pPr>
              <w:tabs>
                <w:tab w:val="left" w:pos="3096"/>
              </w:tabs>
              <w:rPr>
                <w:b/>
                <w:sz w:val="26"/>
                <w:szCs w:val="26"/>
                <w:lang w:val="nl-NL"/>
              </w:rPr>
            </w:pPr>
            <w:r>
              <w:rPr>
                <w:b/>
                <w:sz w:val="26"/>
                <w:szCs w:val="26"/>
                <w:lang w:val="nl-NL"/>
              </w:rPr>
              <w:t xml:space="preserve"> </w:t>
            </w:r>
            <w:r>
              <w:rPr>
                <w:noProof/>
                <w:sz w:val="28"/>
                <w:szCs w:val="28"/>
              </w:rPr>
              <w:t>Số: 214 /2012/TT-BTC</w:t>
            </w:r>
          </w:p>
        </w:tc>
        <w:tc>
          <w:tcPr>
            <w:tcW w:w="6120" w:type="dxa"/>
            <w:hideMark/>
          </w:tcPr>
          <w:p w:rsidR="008E4AB1" w:rsidRDefault="008E4AB1">
            <w:pPr>
              <w:jc w:val="center"/>
              <w:rPr>
                <w:sz w:val="28"/>
                <w:szCs w:val="28"/>
                <w:lang w:val="nl-NL"/>
              </w:rPr>
            </w:pPr>
            <w:r>
              <w:t> </w:t>
            </w:r>
          </w:p>
        </w:tc>
      </w:tr>
      <w:tr w:rsidR="008E4AB1" w:rsidTr="008E4AB1">
        <w:trPr>
          <w:jc w:val="center"/>
        </w:trPr>
        <w:tc>
          <w:tcPr>
            <w:tcW w:w="3168" w:type="dxa"/>
          </w:tcPr>
          <w:p w:rsidR="008E4AB1" w:rsidRDefault="008E4AB1">
            <w:pPr>
              <w:spacing w:before="60"/>
              <w:jc w:val="center"/>
              <w:rPr>
                <w:sz w:val="22"/>
                <w:lang w:val="nl-NL"/>
              </w:rPr>
            </w:pPr>
          </w:p>
        </w:tc>
        <w:tc>
          <w:tcPr>
            <w:tcW w:w="6120" w:type="dxa"/>
            <w:hideMark/>
          </w:tcPr>
          <w:p w:rsidR="008E4AB1" w:rsidRDefault="008E4AB1">
            <w:pPr>
              <w:pStyle w:val="Heading1"/>
              <w:rPr>
                <w:rFonts w:ascii="Times New Roman" w:hAnsi="Times New Roman"/>
                <w:szCs w:val="28"/>
                <w:lang w:val="nl-NL"/>
              </w:rPr>
            </w:pPr>
            <w:r>
              <w:rPr>
                <w:rFonts w:ascii="Times New Roman" w:hAnsi="Times New Roman"/>
                <w:lang w:val="nl-NL"/>
              </w:rPr>
              <w:t>Hà Nội, ngày  06  tháng 12 năm 2012</w:t>
            </w:r>
          </w:p>
        </w:tc>
      </w:tr>
    </w:tbl>
    <w:p w:rsidR="008E4AB1" w:rsidRDefault="008E4AB1" w:rsidP="008E4AB1">
      <w:pPr>
        <w:spacing w:before="360"/>
        <w:jc w:val="center"/>
        <w:rPr>
          <w:b/>
          <w:sz w:val="28"/>
          <w:szCs w:val="28"/>
          <w:lang w:val="nl-NL"/>
        </w:rPr>
      </w:pPr>
      <w:r>
        <w:rPr>
          <w:b/>
          <w:sz w:val="28"/>
          <w:szCs w:val="28"/>
          <w:lang w:val="nl-NL"/>
        </w:rPr>
        <w:t>THÔNG TƯ</w:t>
      </w:r>
    </w:p>
    <w:p w:rsidR="008E4AB1" w:rsidRDefault="008E4AB1" w:rsidP="008E4AB1">
      <w:pPr>
        <w:spacing w:before="120"/>
        <w:jc w:val="center"/>
        <w:rPr>
          <w:b/>
          <w:sz w:val="28"/>
          <w:szCs w:val="28"/>
          <w:lang w:val="nl-NL"/>
        </w:rPr>
      </w:pPr>
      <w:r>
        <w:rPr>
          <w:b/>
          <w:sz w:val="28"/>
          <w:szCs w:val="28"/>
          <w:lang w:val="nl-NL"/>
        </w:rPr>
        <w:t>Ban hành hệ thống chuẩn mực kiểm toán Việt Nam</w:t>
      </w:r>
    </w:p>
    <w:p w:rsidR="008E4AB1" w:rsidRDefault="008E4AB1" w:rsidP="008E4AB1">
      <w:pPr>
        <w:ind w:firstLine="561"/>
        <w:jc w:val="both"/>
        <w:rPr>
          <w:i/>
          <w:sz w:val="28"/>
          <w:szCs w:val="28"/>
        </w:rPr>
      </w:pPr>
      <w:r>
        <w:rPr>
          <w:i/>
          <w:sz w:val="28"/>
          <w:szCs w:val="28"/>
        </w:rPr>
        <w:t>Căn cứ Luật kiểm toán độc lập số 67/2011/QH12 ngày 29 tháng 3 năm 2011;</w:t>
      </w:r>
    </w:p>
    <w:p w:rsidR="008E4AB1" w:rsidRDefault="008E4AB1" w:rsidP="008E4AB1">
      <w:pPr>
        <w:spacing w:before="120"/>
        <w:ind w:firstLine="562"/>
        <w:jc w:val="both"/>
        <w:rPr>
          <w:i/>
          <w:sz w:val="28"/>
          <w:szCs w:val="28"/>
        </w:rPr>
      </w:pPr>
      <w:r>
        <w:rPr>
          <w:i/>
          <w:sz w:val="28"/>
          <w:szCs w:val="28"/>
        </w:rPr>
        <w:t xml:space="preserve">Căn cứ Nghị định số 17/2012/NĐ-CP ngày 13/3/2012 của Chính phủ </w:t>
      </w:r>
      <w:r w:rsidRPr="008E4AB1">
        <w:rPr>
          <w:i/>
          <w:sz w:val="28"/>
          <w:szCs w:val="28"/>
        </w:rPr>
        <w:t>Q</w:t>
      </w:r>
      <w:r>
        <w:rPr>
          <w:i/>
          <w:sz w:val="28"/>
          <w:szCs w:val="28"/>
        </w:rPr>
        <w:t>uy định chi tiết và hướng dẫn thi hành một số điều của Luật kiểm toán độc lập;</w:t>
      </w:r>
    </w:p>
    <w:p w:rsidR="008E4AB1" w:rsidRDefault="008E4AB1" w:rsidP="008E4AB1">
      <w:pPr>
        <w:spacing w:before="120"/>
        <w:ind w:firstLine="562"/>
        <w:jc w:val="both"/>
        <w:rPr>
          <w:i/>
          <w:sz w:val="28"/>
          <w:szCs w:val="28"/>
        </w:rPr>
      </w:pPr>
      <w:r>
        <w:rPr>
          <w:i/>
          <w:sz w:val="28"/>
          <w:szCs w:val="28"/>
        </w:rPr>
        <w:t>Căn cứ Nghị định số 118/2008/NĐ-CP ngày 27/11/2008 của Chính phủ Quy định chức năng, nhiệm vụ, quyền hạn và cơ cấu tổ chức của Bộ Tài chính;</w:t>
      </w:r>
    </w:p>
    <w:p w:rsidR="008E4AB1" w:rsidRPr="008E4AB1" w:rsidRDefault="008E4AB1" w:rsidP="008E4AB1">
      <w:pPr>
        <w:spacing w:before="120"/>
        <w:ind w:firstLine="562"/>
        <w:jc w:val="both"/>
        <w:rPr>
          <w:i/>
          <w:sz w:val="28"/>
          <w:szCs w:val="28"/>
        </w:rPr>
      </w:pPr>
      <w:r w:rsidRPr="008E4AB1">
        <w:rPr>
          <w:i/>
          <w:sz w:val="28"/>
          <w:szCs w:val="28"/>
        </w:rPr>
        <w:t>Xét đề nghị</w:t>
      </w:r>
      <w:r>
        <w:rPr>
          <w:i/>
          <w:sz w:val="28"/>
          <w:szCs w:val="28"/>
        </w:rPr>
        <w:t xml:space="preserve"> của Chủ tịch Hội Kiểm toán viên hành nghề Việt Nam (VACPA) và Vụ trưởng Vụ Chế độ kế toán và kiểm toán</w:t>
      </w:r>
      <w:r w:rsidRPr="008E4AB1">
        <w:rPr>
          <w:i/>
          <w:sz w:val="28"/>
          <w:szCs w:val="28"/>
        </w:rPr>
        <w:t>;</w:t>
      </w:r>
    </w:p>
    <w:p w:rsidR="008E4AB1" w:rsidRDefault="008E4AB1" w:rsidP="008E4AB1">
      <w:pPr>
        <w:spacing w:before="120"/>
        <w:ind w:firstLine="562"/>
        <w:jc w:val="both"/>
        <w:rPr>
          <w:bCs/>
          <w:spacing w:val="-2"/>
          <w:sz w:val="28"/>
          <w:szCs w:val="28"/>
        </w:rPr>
      </w:pPr>
      <w:r>
        <w:rPr>
          <w:i/>
          <w:sz w:val="28"/>
          <w:szCs w:val="28"/>
        </w:rPr>
        <w:t>Bộ trưởng Bộ Tài chính ban hành Thông tư ban hành hệ thống chuẩn mực kiểm toán Việt Nam.</w:t>
      </w:r>
    </w:p>
    <w:p w:rsidR="008E4AB1" w:rsidRDefault="008E4AB1" w:rsidP="008E4AB1">
      <w:pPr>
        <w:spacing w:before="240"/>
        <w:ind w:firstLine="561"/>
        <w:jc w:val="both"/>
        <w:rPr>
          <w:b/>
          <w:sz w:val="28"/>
          <w:szCs w:val="28"/>
        </w:rPr>
      </w:pPr>
      <w:r>
        <w:rPr>
          <w:b/>
          <w:bCs/>
          <w:sz w:val="28"/>
          <w:szCs w:val="28"/>
        </w:rPr>
        <w:t>Điều 1.</w:t>
      </w:r>
      <w:r>
        <w:rPr>
          <w:sz w:val="28"/>
          <w:szCs w:val="28"/>
        </w:rPr>
        <w:t xml:space="preserve"> </w:t>
      </w:r>
      <w:r>
        <w:rPr>
          <w:b/>
          <w:sz w:val="28"/>
          <w:szCs w:val="28"/>
        </w:rPr>
        <w:t>Ban hành kèm theo Thông tư này ba mươi bảy (37) chuẩn mực kiểm toán Việt Nam có số hiệu và tên gọi như sau:</w:t>
      </w:r>
    </w:p>
    <w:p w:rsidR="008E4AB1" w:rsidRDefault="008E4AB1" w:rsidP="008E4AB1">
      <w:pPr>
        <w:spacing w:before="120" w:line="264" w:lineRule="auto"/>
        <w:ind w:firstLine="544"/>
        <w:jc w:val="both"/>
        <w:rPr>
          <w:sz w:val="28"/>
          <w:szCs w:val="28"/>
        </w:rPr>
      </w:pPr>
      <w:r>
        <w:rPr>
          <w:sz w:val="28"/>
          <w:szCs w:val="28"/>
        </w:rPr>
        <w:t>1. Chuẩn mực kiểm soát chất lượng số 1- Kiểm soát chất lượng doanh nghiệp thực hiện kiểm toán, soát xét báo cáo tài chính, dịch vụ đảm bảo và các dịch vụ liên quan khác (VSQC1).</w:t>
      </w:r>
    </w:p>
    <w:p w:rsidR="008E4AB1" w:rsidRDefault="008E4AB1" w:rsidP="008E4AB1">
      <w:pPr>
        <w:spacing w:before="120" w:line="264" w:lineRule="auto"/>
        <w:ind w:firstLine="544"/>
        <w:jc w:val="both"/>
        <w:rPr>
          <w:sz w:val="28"/>
          <w:szCs w:val="28"/>
        </w:rPr>
      </w:pPr>
      <w:r>
        <w:rPr>
          <w:sz w:val="28"/>
          <w:szCs w:val="28"/>
        </w:rPr>
        <w:t>2. Chuẩn mực số 200 - Mục tiêu tổng thể của kiểm toán viên và doanh nghiệp kiểm toán khi thực hiện kiểm toán theo chuẩn mực kiểm toán Việt Nam.</w:t>
      </w:r>
    </w:p>
    <w:p w:rsidR="008E4AB1" w:rsidRDefault="008E4AB1" w:rsidP="008E4AB1">
      <w:pPr>
        <w:spacing w:before="120" w:line="264" w:lineRule="auto"/>
        <w:ind w:firstLine="544"/>
        <w:jc w:val="both"/>
        <w:rPr>
          <w:sz w:val="28"/>
          <w:szCs w:val="28"/>
        </w:rPr>
      </w:pPr>
      <w:r>
        <w:rPr>
          <w:sz w:val="28"/>
          <w:szCs w:val="28"/>
        </w:rPr>
        <w:t>3. Chuẩn mực số 210- Hợp đồng kiểm toán.</w:t>
      </w:r>
    </w:p>
    <w:p w:rsidR="008E4AB1" w:rsidRDefault="008E4AB1" w:rsidP="008E4AB1">
      <w:pPr>
        <w:spacing w:before="120" w:line="264" w:lineRule="auto"/>
        <w:ind w:firstLine="544"/>
        <w:jc w:val="both"/>
        <w:rPr>
          <w:sz w:val="28"/>
          <w:szCs w:val="28"/>
        </w:rPr>
      </w:pPr>
      <w:r>
        <w:rPr>
          <w:sz w:val="28"/>
          <w:szCs w:val="28"/>
        </w:rPr>
        <w:t>4. Chuẩn mực số 220- Kiểm soát chất lượng hoạt động kiểm toán báo cáo tài chính.</w:t>
      </w:r>
    </w:p>
    <w:p w:rsidR="008E4AB1" w:rsidRDefault="008E4AB1" w:rsidP="008E4AB1">
      <w:pPr>
        <w:spacing w:before="120" w:line="264" w:lineRule="auto"/>
        <w:ind w:firstLine="544"/>
        <w:jc w:val="both"/>
        <w:rPr>
          <w:sz w:val="28"/>
          <w:szCs w:val="28"/>
        </w:rPr>
      </w:pPr>
      <w:r>
        <w:rPr>
          <w:sz w:val="28"/>
          <w:szCs w:val="28"/>
        </w:rPr>
        <w:t>5. Chuẩn mực số 230- Tài liệu, hồ sơ kiểm toán.</w:t>
      </w:r>
    </w:p>
    <w:p w:rsidR="008E4AB1" w:rsidRDefault="008E4AB1" w:rsidP="008E4AB1">
      <w:pPr>
        <w:spacing w:before="120" w:line="264" w:lineRule="auto"/>
        <w:ind w:firstLine="544"/>
        <w:jc w:val="both"/>
        <w:rPr>
          <w:sz w:val="28"/>
          <w:szCs w:val="28"/>
        </w:rPr>
      </w:pPr>
      <w:r>
        <w:rPr>
          <w:sz w:val="28"/>
          <w:szCs w:val="28"/>
        </w:rPr>
        <w:t>6. Chuẩn mực số 240- Trách nhiệm của kiểm toán viên liên quan đến gian lận trong quá trình kiểm toán báo cáo tài chính.</w:t>
      </w:r>
    </w:p>
    <w:p w:rsidR="008E4AB1" w:rsidRDefault="008E4AB1" w:rsidP="008E4AB1">
      <w:pPr>
        <w:spacing w:before="120" w:line="264" w:lineRule="auto"/>
        <w:ind w:firstLine="544"/>
        <w:jc w:val="both"/>
        <w:rPr>
          <w:sz w:val="28"/>
          <w:szCs w:val="28"/>
        </w:rPr>
      </w:pPr>
      <w:r>
        <w:rPr>
          <w:sz w:val="28"/>
          <w:szCs w:val="28"/>
        </w:rPr>
        <w:lastRenderedPageBreak/>
        <w:t>7. Chuẩn mực số 250- Xem xét tính tuân thủ pháp luật và các quy định trong kiểm toán báo cáo tài chính.</w:t>
      </w:r>
    </w:p>
    <w:p w:rsidR="008E4AB1" w:rsidRDefault="008E4AB1" w:rsidP="008E4AB1">
      <w:pPr>
        <w:spacing w:before="120" w:line="264" w:lineRule="auto"/>
        <w:ind w:firstLine="544"/>
        <w:jc w:val="both"/>
        <w:rPr>
          <w:sz w:val="28"/>
          <w:szCs w:val="28"/>
        </w:rPr>
      </w:pPr>
      <w:r>
        <w:rPr>
          <w:sz w:val="28"/>
          <w:szCs w:val="28"/>
        </w:rPr>
        <w:t>8. Chuẩn mực số 260- Trao đổi các vấn đề với Ban quản trị đơn vị được kiểm toán.</w:t>
      </w:r>
    </w:p>
    <w:p w:rsidR="008E4AB1" w:rsidRDefault="008E4AB1" w:rsidP="008E4AB1">
      <w:pPr>
        <w:spacing w:before="120" w:line="264" w:lineRule="auto"/>
        <w:ind w:firstLine="544"/>
        <w:jc w:val="both"/>
        <w:rPr>
          <w:sz w:val="28"/>
          <w:szCs w:val="28"/>
        </w:rPr>
      </w:pPr>
      <w:r>
        <w:rPr>
          <w:sz w:val="28"/>
          <w:szCs w:val="28"/>
        </w:rPr>
        <w:t xml:space="preserve">9. Chuẩn mực số 265- Trao đổi về những khiếm khuyết trong kiểm soát nội bộ với Ban quản trị và Ban Giám đốc đơn vị được kiểm toán.  </w:t>
      </w:r>
    </w:p>
    <w:p w:rsidR="008E4AB1" w:rsidRDefault="008E4AB1" w:rsidP="008E4AB1">
      <w:pPr>
        <w:spacing w:before="110" w:line="264" w:lineRule="auto"/>
        <w:ind w:firstLine="544"/>
        <w:jc w:val="both"/>
        <w:rPr>
          <w:sz w:val="28"/>
          <w:szCs w:val="28"/>
        </w:rPr>
      </w:pPr>
      <w:r>
        <w:rPr>
          <w:sz w:val="28"/>
          <w:szCs w:val="28"/>
        </w:rPr>
        <w:t>10. Chuẩn mực số 300- Lập kế hoạch kiểm toán báo cáo tài chính.</w:t>
      </w:r>
    </w:p>
    <w:p w:rsidR="008E4AB1" w:rsidRDefault="008E4AB1" w:rsidP="008E4AB1">
      <w:pPr>
        <w:spacing w:before="110" w:line="264" w:lineRule="auto"/>
        <w:ind w:firstLine="544"/>
        <w:jc w:val="both"/>
        <w:rPr>
          <w:sz w:val="28"/>
          <w:szCs w:val="28"/>
        </w:rPr>
      </w:pPr>
      <w:r>
        <w:rPr>
          <w:sz w:val="28"/>
          <w:szCs w:val="28"/>
        </w:rPr>
        <w:t>11. Chuẩn mực số 315- Xác định và đánh giá rủi ro có sai sót trọng yếu thông qua hiểu biết về đơn vị được kiểm toán và môi trường của đơn vị.</w:t>
      </w:r>
    </w:p>
    <w:p w:rsidR="008E4AB1" w:rsidRDefault="008E4AB1" w:rsidP="008E4AB1">
      <w:pPr>
        <w:spacing w:before="110" w:line="264" w:lineRule="auto"/>
        <w:ind w:firstLine="544"/>
        <w:jc w:val="both"/>
        <w:rPr>
          <w:sz w:val="28"/>
          <w:szCs w:val="28"/>
        </w:rPr>
      </w:pPr>
      <w:r>
        <w:rPr>
          <w:sz w:val="28"/>
          <w:szCs w:val="28"/>
        </w:rPr>
        <w:t>12. Chuẩn mực số 320- Mức trọng yếu trong lập kế hoạch và thực hiện kiểm toán.</w:t>
      </w:r>
    </w:p>
    <w:p w:rsidR="008E4AB1" w:rsidRDefault="008E4AB1" w:rsidP="008E4AB1">
      <w:pPr>
        <w:spacing w:before="110" w:line="264" w:lineRule="auto"/>
        <w:ind w:firstLine="544"/>
        <w:jc w:val="both"/>
        <w:rPr>
          <w:sz w:val="28"/>
          <w:szCs w:val="28"/>
        </w:rPr>
      </w:pPr>
      <w:r>
        <w:rPr>
          <w:sz w:val="28"/>
          <w:szCs w:val="28"/>
        </w:rPr>
        <w:t>13. Chuẩn mực số 330- Biện pháp xử lý của kiểm toán viên đối với rủi ro đã đánh giá.</w:t>
      </w:r>
    </w:p>
    <w:p w:rsidR="008E4AB1" w:rsidRDefault="008E4AB1" w:rsidP="008E4AB1">
      <w:pPr>
        <w:spacing w:before="110" w:line="264" w:lineRule="auto"/>
        <w:ind w:firstLine="544"/>
        <w:jc w:val="both"/>
        <w:rPr>
          <w:sz w:val="28"/>
          <w:szCs w:val="28"/>
        </w:rPr>
      </w:pPr>
      <w:r>
        <w:rPr>
          <w:sz w:val="28"/>
          <w:szCs w:val="28"/>
        </w:rPr>
        <w:t>14. Chuẩn mực số 402- Các yếu tố cần xem xét khi kiểm toán đơn vị có sử dụng dịch vụ bên ngoài.</w:t>
      </w:r>
    </w:p>
    <w:p w:rsidR="008E4AB1" w:rsidRDefault="008E4AB1" w:rsidP="008E4AB1">
      <w:pPr>
        <w:spacing w:before="110" w:line="264" w:lineRule="auto"/>
        <w:ind w:firstLine="544"/>
        <w:jc w:val="both"/>
        <w:rPr>
          <w:sz w:val="28"/>
          <w:szCs w:val="28"/>
        </w:rPr>
      </w:pPr>
      <w:r>
        <w:rPr>
          <w:sz w:val="28"/>
          <w:szCs w:val="28"/>
        </w:rPr>
        <w:t>15. Chuẩn mực số 450- Đánh giá các sai sót phát hiện trong quá trình kiểm toán.</w:t>
      </w:r>
    </w:p>
    <w:p w:rsidR="008E4AB1" w:rsidRDefault="008E4AB1" w:rsidP="008E4AB1">
      <w:pPr>
        <w:spacing w:before="110" w:line="264" w:lineRule="auto"/>
        <w:ind w:firstLine="544"/>
        <w:jc w:val="both"/>
        <w:rPr>
          <w:sz w:val="28"/>
          <w:szCs w:val="28"/>
        </w:rPr>
      </w:pPr>
      <w:r>
        <w:rPr>
          <w:sz w:val="28"/>
          <w:szCs w:val="28"/>
        </w:rPr>
        <w:t>16. Chuẩn mực số 500- Bằng chứng kiểm toán.</w:t>
      </w:r>
    </w:p>
    <w:p w:rsidR="008E4AB1" w:rsidRDefault="008E4AB1" w:rsidP="008E4AB1">
      <w:pPr>
        <w:spacing w:before="110" w:line="264" w:lineRule="auto"/>
        <w:ind w:firstLine="544"/>
        <w:jc w:val="both"/>
        <w:rPr>
          <w:sz w:val="28"/>
          <w:szCs w:val="28"/>
        </w:rPr>
      </w:pPr>
      <w:r>
        <w:rPr>
          <w:sz w:val="28"/>
          <w:szCs w:val="28"/>
        </w:rPr>
        <w:t>17. Chuẩn mực số 501- Bằng chứng kiểm toán đối với các khoản mục và sự kiện đặc biệt.</w:t>
      </w:r>
    </w:p>
    <w:p w:rsidR="008E4AB1" w:rsidRDefault="008E4AB1" w:rsidP="008E4AB1">
      <w:pPr>
        <w:spacing w:before="110" w:line="264" w:lineRule="auto"/>
        <w:ind w:firstLine="544"/>
        <w:jc w:val="both"/>
        <w:rPr>
          <w:sz w:val="28"/>
          <w:szCs w:val="28"/>
        </w:rPr>
      </w:pPr>
      <w:r>
        <w:rPr>
          <w:sz w:val="28"/>
          <w:szCs w:val="28"/>
        </w:rPr>
        <w:t>18. Chuẩn mực số 505- Thông tin xác nhận từ bên ngoài.</w:t>
      </w:r>
    </w:p>
    <w:p w:rsidR="008E4AB1" w:rsidRDefault="008E4AB1" w:rsidP="008E4AB1">
      <w:pPr>
        <w:spacing w:before="110" w:line="264" w:lineRule="auto"/>
        <w:ind w:firstLine="544"/>
        <w:jc w:val="both"/>
        <w:rPr>
          <w:sz w:val="28"/>
          <w:szCs w:val="28"/>
        </w:rPr>
      </w:pPr>
      <w:r>
        <w:rPr>
          <w:sz w:val="28"/>
          <w:szCs w:val="28"/>
        </w:rPr>
        <w:t>19. Chuẩn mực số 510- Kiểm toán năm đầu tiên – Số dư đầu kỳ.</w:t>
      </w:r>
    </w:p>
    <w:p w:rsidR="008E4AB1" w:rsidRDefault="008E4AB1" w:rsidP="008E4AB1">
      <w:pPr>
        <w:spacing w:before="110" w:line="264" w:lineRule="auto"/>
        <w:ind w:firstLine="544"/>
        <w:jc w:val="both"/>
        <w:rPr>
          <w:sz w:val="28"/>
          <w:szCs w:val="28"/>
        </w:rPr>
      </w:pPr>
      <w:r>
        <w:rPr>
          <w:sz w:val="28"/>
          <w:szCs w:val="28"/>
        </w:rPr>
        <w:t>20. Chuẩn mực số 520- Thủ tục phân tích</w:t>
      </w:r>
    </w:p>
    <w:p w:rsidR="008E4AB1" w:rsidRDefault="008E4AB1" w:rsidP="008E4AB1">
      <w:pPr>
        <w:spacing w:before="110" w:line="264" w:lineRule="auto"/>
        <w:ind w:firstLine="544"/>
        <w:jc w:val="both"/>
        <w:rPr>
          <w:sz w:val="28"/>
          <w:szCs w:val="28"/>
        </w:rPr>
      </w:pPr>
      <w:r>
        <w:rPr>
          <w:sz w:val="28"/>
          <w:szCs w:val="28"/>
        </w:rPr>
        <w:t>21. Chuẩn mực số 530- Lấy mẫu kiểm toán.</w:t>
      </w:r>
    </w:p>
    <w:p w:rsidR="008E4AB1" w:rsidRDefault="008E4AB1" w:rsidP="008E4AB1">
      <w:pPr>
        <w:spacing w:before="110" w:line="264" w:lineRule="auto"/>
        <w:ind w:firstLine="544"/>
        <w:jc w:val="both"/>
        <w:rPr>
          <w:sz w:val="28"/>
          <w:szCs w:val="28"/>
        </w:rPr>
      </w:pPr>
      <w:r>
        <w:rPr>
          <w:sz w:val="28"/>
          <w:szCs w:val="28"/>
        </w:rPr>
        <w:t>22. Chuẩn mực số 540- Kiểm toán các ước tính kế toán (bao gồm ước tính kế toán về giá trị hợp lý và các thuyết minh liên quan).</w:t>
      </w:r>
    </w:p>
    <w:p w:rsidR="008E4AB1" w:rsidRDefault="008E4AB1" w:rsidP="008E4AB1">
      <w:pPr>
        <w:spacing w:before="110" w:line="264" w:lineRule="auto"/>
        <w:ind w:firstLine="544"/>
        <w:jc w:val="both"/>
        <w:rPr>
          <w:sz w:val="28"/>
          <w:szCs w:val="28"/>
        </w:rPr>
      </w:pPr>
      <w:r>
        <w:rPr>
          <w:sz w:val="28"/>
          <w:szCs w:val="28"/>
        </w:rPr>
        <w:t>23. Chuẩn mực số 550- Các bên liên quan.</w:t>
      </w:r>
    </w:p>
    <w:p w:rsidR="008E4AB1" w:rsidRDefault="008E4AB1" w:rsidP="008E4AB1">
      <w:pPr>
        <w:spacing w:before="110" w:line="264" w:lineRule="auto"/>
        <w:ind w:firstLine="544"/>
        <w:jc w:val="both"/>
        <w:rPr>
          <w:sz w:val="28"/>
          <w:szCs w:val="28"/>
        </w:rPr>
      </w:pPr>
      <w:r>
        <w:rPr>
          <w:sz w:val="28"/>
          <w:szCs w:val="28"/>
        </w:rPr>
        <w:t xml:space="preserve">24. Chuẩn mực số 560- Các sự kiện phát sinh sau ngày kết thúc kỳ kế toán. </w:t>
      </w:r>
    </w:p>
    <w:p w:rsidR="008E4AB1" w:rsidRDefault="008E4AB1" w:rsidP="008E4AB1">
      <w:pPr>
        <w:spacing w:before="110" w:line="264" w:lineRule="auto"/>
        <w:ind w:firstLine="544"/>
        <w:jc w:val="both"/>
        <w:rPr>
          <w:sz w:val="28"/>
          <w:szCs w:val="28"/>
        </w:rPr>
      </w:pPr>
      <w:r>
        <w:rPr>
          <w:sz w:val="28"/>
          <w:szCs w:val="28"/>
        </w:rPr>
        <w:t>25. Chuẩn mực số 570- Hoạt động liên tục.</w:t>
      </w:r>
    </w:p>
    <w:p w:rsidR="008E4AB1" w:rsidRDefault="008E4AB1" w:rsidP="008E4AB1">
      <w:pPr>
        <w:spacing w:before="110" w:line="264" w:lineRule="auto"/>
        <w:ind w:firstLine="544"/>
        <w:jc w:val="both"/>
        <w:rPr>
          <w:sz w:val="28"/>
          <w:szCs w:val="28"/>
        </w:rPr>
      </w:pPr>
      <w:r>
        <w:rPr>
          <w:sz w:val="28"/>
          <w:szCs w:val="28"/>
        </w:rPr>
        <w:t xml:space="preserve">26. Chuẩn mực số 580- Giải trình bằng văn bản.  </w:t>
      </w:r>
    </w:p>
    <w:p w:rsidR="008E4AB1" w:rsidRDefault="008E4AB1" w:rsidP="008E4AB1">
      <w:pPr>
        <w:spacing w:before="110" w:line="264" w:lineRule="auto"/>
        <w:ind w:firstLine="544"/>
        <w:jc w:val="both"/>
        <w:rPr>
          <w:sz w:val="28"/>
          <w:szCs w:val="28"/>
        </w:rPr>
      </w:pPr>
      <w:r>
        <w:rPr>
          <w:sz w:val="28"/>
          <w:szCs w:val="28"/>
        </w:rPr>
        <w:lastRenderedPageBreak/>
        <w:t>27. Chuẩn mực số 600- Lưu ý khi kiểm toán báo cáo tài chính tập đoàn (kể cả công việc của kiểm toán viên đơn vị thành viên).</w:t>
      </w:r>
    </w:p>
    <w:p w:rsidR="008E4AB1" w:rsidRDefault="008E4AB1" w:rsidP="008E4AB1">
      <w:pPr>
        <w:spacing w:before="110" w:line="264" w:lineRule="auto"/>
        <w:ind w:firstLine="544"/>
        <w:jc w:val="both"/>
        <w:rPr>
          <w:sz w:val="28"/>
          <w:szCs w:val="28"/>
        </w:rPr>
      </w:pPr>
      <w:r>
        <w:rPr>
          <w:sz w:val="28"/>
          <w:szCs w:val="28"/>
        </w:rPr>
        <w:t>28. Chuẩn mực số 610- Sử dụng công việc của kiểm toán viên nội bộ.</w:t>
      </w:r>
    </w:p>
    <w:p w:rsidR="008E4AB1" w:rsidRDefault="008E4AB1" w:rsidP="008E4AB1">
      <w:pPr>
        <w:spacing w:before="110" w:line="264" w:lineRule="auto"/>
        <w:ind w:firstLine="544"/>
        <w:jc w:val="both"/>
        <w:rPr>
          <w:sz w:val="28"/>
          <w:szCs w:val="28"/>
        </w:rPr>
      </w:pPr>
      <w:r>
        <w:rPr>
          <w:sz w:val="28"/>
          <w:szCs w:val="28"/>
        </w:rPr>
        <w:t>29. Chuẩn mực số 620- Sử dụng công việc của chuyên gia.</w:t>
      </w:r>
    </w:p>
    <w:p w:rsidR="008E4AB1" w:rsidRDefault="008E4AB1" w:rsidP="008E4AB1">
      <w:pPr>
        <w:spacing w:before="110" w:line="264" w:lineRule="auto"/>
        <w:ind w:firstLine="544"/>
        <w:jc w:val="both"/>
        <w:rPr>
          <w:sz w:val="28"/>
          <w:szCs w:val="28"/>
        </w:rPr>
      </w:pPr>
      <w:r>
        <w:rPr>
          <w:sz w:val="28"/>
          <w:szCs w:val="28"/>
        </w:rPr>
        <w:t>30. Chuẩn mực số 700- Hình thành ý kiến kiểm toán và báo cáo kiểm toán về báo cáo tài chính.</w:t>
      </w:r>
    </w:p>
    <w:p w:rsidR="008E4AB1" w:rsidRDefault="008E4AB1" w:rsidP="008E4AB1">
      <w:pPr>
        <w:spacing w:before="110" w:line="264" w:lineRule="auto"/>
        <w:ind w:firstLine="544"/>
        <w:jc w:val="both"/>
        <w:rPr>
          <w:sz w:val="28"/>
          <w:szCs w:val="28"/>
        </w:rPr>
      </w:pPr>
      <w:r>
        <w:rPr>
          <w:sz w:val="28"/>
          <w:szCs w:val="28"/>
        </w:rPr>
        <w:t>31. Chuẩn mực số 705- Ý kiến kiểm toán không phải là ý kiến chấp nhận toàn phần.</w:t>
      </w:r>
    </w:p>
    <w:p w:rsidR="008E4AB1" w:rsidRDefault="008E4AB1" w:rsidP="008E4AB1">
      <w:pPr>
        <w:spacing w:before="110" w:line="264" w:lineRule="auto"/>
        <w:ind w:firstLine="544"/>
        <w:jc w:val="both"/>
        <w:rPr>
          <w:sz w:val="28"/>
          <w:szCs w:val="28"/>
        </w:rPr>
      </w:pPr>
      <w:r>
        <w:rPr>
          <w:sz w:val="28"/>
          <w:szCs w:val="28"/>
        </w:rPr>
        <w:t>32. Chuẩn mực số 706- Đoạn “Vấn đề cần nhấn mạnh” và “Vấn đề khác” trong báo cáo kiểm toán về báo cáo tài chính.</w:t>
      </w:r>
    </w:p>
    <w:p w:rsidR="008E4AB1" w:rsidRDefault="008E4AB1" w:rsidP="008E4AB1">
      <w:pPr>
        <w:spacing w:before="100" w:line="264" w:lineRule="auto"/>
        <w:ind w:firstLine="544"/>
        <w:jc w:val="both"/>
        <w:rPr>
          <w:sz w:val="28"/>
          <w:szCs w:val="28"/>
        </w:rPr>
      </w:pPr>
      <w:r>
        <w:rPr>
          <w:sz w:val="28"/>
          <w:szCs w:val="28"/>
        </w:rPr>
        <w:t>33. Chuẩn mực số 710- Thông tin so sánh - Dữ liệu tương ứng và báo cáo tài chính so sánh.</w:t>
      </w:r>
    </w:p>
    <w:p w:rsidR="008E4AB1" w:rsidRDefault="008E4AB1" w:rsidP="008E4AB1">
      <w:pPr>
        <w:spacing w:before="120" w:line="264" w:lineRule="auto"/>
        <w:ind w:firstLine="544"/>
        <w:jc w:val="both"/>
        <w:rPr>
          <w:sz w:val="28"/>
          <w:szCs w:val="28"/>
        </w:rPr>
      </w:pPr>
      <w:r>
        <w:rPr>
          <w:sz w:val="28"/>
          <w:szCs w:val="28"/>
        </w:rPr>
        <w:t>34. Chuẩn mực số 720- Các thông tin khác trong tài liệu có báo cáo tài chính đã được kiểm toán.</w:t>
      </w:r>
    </w:p>
    <w:p w:rsidR="008E4AB1" w:rsidRDefault="008E4AB1" w:rsidP="008E4AB1">
      <w:pPr>
        <w:spacing w:before="120" w:line="264" w:lineRule="auto"/>
        <w:ind w:firstLine="544"/>
        <w:jc w:val="both"/>
        <w:rPr>
          <w:sz w:val="28"/>
          <w:szCs w:val="28"/>
        </w:rPr>
      </w:pPr>
      <w:r>
        <w:rPr>
          <w:sz w:val="28"/>
          <w:szCs w:val="28"/>
        </w:rPr>
        <w:t>35. Chuẩn mực số 800- Lưu ý khi kiểm toán báo cáo tài chính được lập theo khuôn khổ về lập và trình bày báo cáo tài chính cho mục đích đặc biệt.</w:t>
      </w:r>
    </w:p>
    <w:p w:rsidR="008E4AB1" w:rsidRDefault="008E4AB1" w:rsidP="008E4AB1">
      <w:pPr>
        <w:spacing w:before="120" w:line="264" w:lineRule="auto"/>
        <w:ind w:firstLine="544"/>
        <w:jc w:val="both"/>
        <w:rPr>
          <w:sz w:val="28"/>
          <w:szCs w:val="28"/>
        </w:rPr>
      </w:pPr>
      <w:r>
        <w:rPr>
          <w:sz w:val="28"/>
          <w:szCs w:val="28"/>
        </w:rPr>
        <w:t>36. Chuẩn mực số 805- Lưu ý khi kiểm toán báo cáo tài chính riêng lẻ và khi kiểm toán các yếu tố, tài khoản hoặc khoản mục cụ thể của báo cáo tài chính.</w:t>
      </w:r>
    </w:p>
    <w:p w:rsidR="008E4AB1" w:rsidRDefault="008E4AB1" w:rsidP="008E4AB1">
      <w:pPr>
        <w:spacing w:before="120" w:line="264" w:lineRule="auto"/>
        <w:ind w:firstLine="544"/>
        <w:jc w:val="both"/>
        <w:rPr>
          <w:sz w:val="28"/>
          <w:szCs w:val="28"/>
        </w:rPr>
      </w:pPr>
      <w:r>
        <w:rPr>
          <w:sz w:val="28"/>
          <w:szCs w:val="28"/>
        </w:rPr>
        <w:t>37. Chuẩn mực số 810- Dịch vụ báo cáo về báo cáo tài chính tóm tắt.</w:t>
      </w:r>
    </w:p>
    <w:p w:rsidR="008E4AB1" w:rsidRDefault="008E4AB1" w:rsidP="008E4AB1">
      <w:pPr>
        <w:spacing w:before="240"/>
        <w:ind w:firstLine="544"/>
        <w:jc w:val="both"/>
        <w:rPr>
          <w:sz w:val="28"/>
          <w:szCs w:val="28"/>
        </w:rPr>
      </w:pPr>
      <w:r>
        <w:rPr>
          <w:b/>
          <w:bCs/>
          <w:sz w:val="28"/>
          <w:szCs w:val="28"/>
        </w:rPr>
        <w:t>Điều 2</w:t>
      </w:r>
      <w:r>
        <w:rPr>
          <w:sz w:val="28"/>
          <w:szCs w:val="28"/>
        </w:rPr>
        <w:t xml:space="preserve">. </w:t>
      </w:r>
      <w:r>
        <w:rPr>
          <w:b/>
          <w:sz w:val="28"/>
          <w:szCs w:val="28"/>
        </w:rPr>
        <w:t>Phạm vi và đối tượng áp dụng</w:t>
      </w:r>
    </w:p>
    <w:p w:rsidR="008E4AB1" w:rsidRDefault="008E4AB1" w:rsidP="008E4AB1">
      <w:pPr>
        <w:spacing w:before="120" w:line="288" w:lineRule="auto"/>
        <w:ind w:firstLine="544"/>
        <w:jc w:val="both"/>
        <w:rPr>
          <w:sz w:val="28"/>
          <w:szCs w:val="28"/>
        </w:rPr>
      </w:pPr>
      <w:r>
        <w:rPr>
          <w:sz w:val="28"/>
          <w:szCs w:val="28"/>
        </w:rPr>
        <w:t xml:space="preserve">Thông tư này </w:t>
      </w:r>
      <w:r w:rsidRPr="008E4AB1">
        <w:rPr>
          <w:sz w:val="28"/>
          <w:szCs w:val="28"/>
        </w:rPr>
        <w:t>ban hành</w:t>
      </w:r>
      <w:r>
        <w:rPr>
          <w:sz w:val="28"/>
          <w:szCs w:val="28"/>
        </w:rPr>
        <w:t xml:space="preserve"> hệ thống chuẩn mực kiểm toán Việt Nam áp dụng đối với doanh nghiệp kiểm toán, chi nhánh doanh nghiệp kiểm toán nước ngoài tại Việt Nam, kiểm toán viên hành nghề và các tổ chức, cá nhân có liên quan trong quá trình cung cấp dịch vụ kiểm toán độ</w:t>
      </w:r>
      <w:r w:rsidRPr="008E4AB1">
        <w:rPr>
          <w:sz w:val="28"/>
          <w:szCs w:val="28"/>
        </w:rPr>
        <w:t>c lập</w:t>
      </w:r>
      <w:r>
        <w:rPr>
          <w:sz w:val="28"/>
          <w:szCs w:val="28"/>
        </w:rPr>
        <w:t xml:space="preserve">. </w:t>
      </w:r>
    </w:p>
    <w:p w:rsidR="008E4AB1" w:rsidRPr="008E4AB1" w:rsidRDefault="008E4AB1" w:rsidP="008E4AB1">
      <w:pPr>
        <w:spacing w:before="240"/>
        <w:ind w:firstLine="544"/>
        <w:jc w:val="both"/>
        <w:rPr>
          <w:b/>
          <w:sz w:val="28"/>
          <w:szCs w:val="28"/>
        </w:rPr>
      </w:pPr>
      <w:r w:rsidRPr="008E4AB1">
        <w:rPr>
          <w:b/>
          <w:sz w:val="28"/>
          <w:szCs w:val="28"/>
        </w:rPr>
        <w:t>Điều 3. Hiệu lực thi hành và điều khoản chuyển tiếp</w:t>
      </w:r>
    </w:p>
    <w:p w:rsidR="008E4AB1" w:rsidRPr="008E4AB1" w:rsidRDefault="008E4AB1" w:rsidP="008E4AB1">
      <w:pPr>
        <w:spacing w:before="120" w:line="312" w:lineRule="auto"/>
        <w:ind w:firstLine="544"/>
        <w:jc w:val="both"/>
        <w:rPr>
          <w:sz w:val="28"/>
          <w:szCs w:val="28"/>
        </w:rPr>
      </w:pPr>
      <w:r w:rsidRPr="008E4AB1">
        <w:rPr>
          <w:sz w:val="28"/>
          <w:szCs w:val="28"/>
        </w:rPr>
        <w:t xml:space="preserve">1. Thông tư này có hiệu lực thi hành kể từ ngày 01/01/2014. </w:t>
      </w:r>
    </w:p>
    <w:p w:rsidR="008E4AB1" w:rsidRPr="008E4AB1" w:rsidRDefault="008E4AB1" w:rsidP="008E4AB1">
      <w:pPr>
        <w:spacing w:before="120" w:line="312" w:lineRule="auto"/>
        <w:ind w:firstLine="544"/>
        <w:jc w:val="both"/>
        <w:rPr>
          <w:sz w:val="28"/>
          <w:szCs w:val="28"/>
        </w:rPr>
      </w:pPr>
      <w:r w:rsidRPr="008E4AB1">
        <w:rPr>
          <w:sz w:val="28"/>
          <w:szCs w:val="28"/>
        </w:rPr>
        <w:t>2. Đối với các cuộc kiểm toán báo cáo tài chính và các công việc kiểm toán khác được thực hiện trước ngày 01/01/2014 mà đến ngày 01/01/2014 trở đi mới phát hành báo cáo kiểm toán thì phải áp dụng hệ thống chuẩn mực kiểm toán Việt Nam ban hành theo Thông tư này.</w:t>
      </w:r>
    </w:p>
    <w:p w:rsidR="008E4AB1" w:rsidRPr="008E4AB1" w:rsidRDefault="008E4AB1" w:rsidP="008E4AB1">
      <w:pPr>
        <w:spacing w:before="120" w:line="312" w:lineRule="auto"/>
        <w:ind w:firstLine="544"/>
        <w:jc w:val="both"/>
        <w:rPr>
          <w:sz w:val="28"/>
          <w:szCs w:val="28"/>
        </w:rPr>
      </w:pPr>
      <w:r w:rsidRPr="008E4AB1">
        <w:rPr>
          <w:sz w:val="28"/>
          <w:szCs w:val="28"/>
        </w:rPr>
        <w:lastRenderedPageBreak/>
        <w:t>3. Hệ thống chuẩn mực kiểm toán Việt Nam ban hành theo các Quyết định số 120/1999/QĐ-BTC ngày 27/9/1999, Quyết định số 219/2000/QĐ-BTC ngày 29/12/2000, Quyết định số 143/2001/QĐ-BTC ngày 21/12/2001, Quyết định số 28/2003/QĐ-BTC ngày 14/3/2003, Quyết định số 195/2003/QĐ-BTC ngày 28/11/2003, Quyết định số 03/2005/QĐ-BTC ngày 18/01/2005, Quyết định số 101/2005/QĐ-BTC ngày 29/12/2005 của Bộ trưởng Bộ Tài chính hết hiệu lực kể từ ngày 01/01/2014, trừ các chuẩn mực quy định tại khoản 4 Điều này.</w:t>
      </w:r>
    </w:p>
    <w:p w:rsidR="008E4AB1" w:rsidRPr="008E4AB1" w:rsidRDefault="008E4AB1" w:rsidP="008E4AB1">
      <w:pPr>
        <w:spacing w:before="120" w:line="312" w:lineRule="auto"/>
        <w:ind w:firstLine="544"/>
        <w:jc w:val="both"/>
        <w:rPr>
          <w:sz w:val="28"/>
          <w:szCs w:val="28"/>
        </w:rPr>
      </w:pPr>
      <w:r w:rsidRPr="008E4AB1">
        <w:rPr>
          <w:sz w:val="28"/>
          <w:szCs w:val="28"/>
        </w:rPr>
        <w:t xml:space="preserve">4. Các chuẩn mực kiểm toán số 1000 </w:t>
      </w:r>
      <w:r w:rsidRPr="008E4AB1">
        <w:rPr>
          <w:i/>
          <w:sz w:val="28"/>
          <w:szCs w:val="28"/>
        </w:rPr>
        <w:t>“Kiểm toán báo cáo quyết toán vốn đầu tư hoàn thành”</w:t>
      </w:r>
      <w:r w:rsidRPr="008E4AB1">
        <w:rPr>
          <w:sz w:val="28"/>
          <w:szCs w:val="28"/>
        </w:rPr>
        <w:t xml:space="preserve">, Chuẩn mực kiểm toán số 930 </w:t>
      </w:r>
      <w:r w:rsidRPr="008E4AB1">
        <w:rPr>
          <w:i/>
          <w:sz w:val="28"/>
          <w:szCs w:val="28"/>
        </w:rPr>
        <w:t>“Dịch vụ tổng hợp thông tin tài chính</w:t>
      </w:r>
      <w:r w:rsidRPr="008E4AB1">
        <w:rPr>
          <w:sz w:val="28"/>
          <w:szCs w:val="28"/>
        </w:rPr>
        <w:t>” ban hành theo Quyết định số 03/2005/QĐ-BTC ngày 18/01/2005 của Bộ trưởng Bộ Tài chính, Chuẩn mực kiểm toán số 910 “</w:t>
      </w:r>
      <w:r w:rsidRPr="008E4AB1">
        <w:rPr>
          <w:i/>
          <w:sz w:val="28"/>
          <w:szCs w:val="28"/>
        </w:rPr>
        <w:t>Công tác soát xét báo cáo tài chính</w:t>
      </w:r>
      <w:r w:rsidRPr="008E4AB1">
        <w:rPr>
          <w:sz w:val="28"/>
          <w:szCs w:val="28"/>
        </w:rPr>
        <w:t>”, Chuẩn mực kiểm toán số 920 “</w:t>
      </w:r>
      <w:r w:rsidRPr="008E4AB1">
        <w:rPr>
          <w:i/>
          <w:sz w:val="28"/>
          <w:szCs w:val="28"/>
        </w:rPr>
        <w:t>Kiểm tra thông tin tài chính trên cơ sở các thủ tục thoả thuận trước</w:t>
      </w:r>
      <w:r w:rsidRPr="008E4AB1">
        <w:rPr>
          <w:sz w:val="28"/>
          <w:szCs w:val="28"/>
        </w:rPr>
        <w:t xml:space="preserve">” ban hành theo Quyết định số 195/2003/QĐ-BTC ngày 28/11/2003 của Bộ trưởng Bộ Tài chính tiếp tục có hiệu lực thi hành cho đến khi có chuẩn mực mới thay thế. </w:t>
      </w:r>
    </w:p>
    <w:p w:rsidR="008E4AB1" w:rsidRPr="008E4AB1" w:rsidRDefault="008E4AB1" w:rsidP="008E4AB1">
      <w:pPr>
        <w:spacing w:before="240" w:line="312" w:lineRule="auto"/>
        <w:ind w:firstLine="544"/>
        <w:jc w:val="both"/>
        <w:rPr>
          <w:b/>
          <w:sz w:val="28"/>
          <w:szCs w:val="28"/>
        </w:rPr>
      </w:pPr>
      <w:r w:rsidRPr="008E4AB1">
        <w:rPr>
          <w:b/>
          <w:sz w:val="28"/>
          <w:szCs w:val="28"/>
        </w:rPr>
        <w:t>Điều 4. Tổ chức thực hiện</w:t>
      </w:r>
    </w:p>
    <w:p w:rsidR="008E4AB1" w:rsidRPr="008E4AB1" w:rsidRDefault="008E4AB1" w:rsidP="008E4AB1">
      <w:pPr>
        <w:spacing w:before="120" w:line="312" w:lineRule="auto"/>
        <w:ind w:firstLine="540"/>
        <w:jc w:val="both"/>
        <w:rPr>
          <w:sz w:val="28"/>
          <w:szCs w:val="28"/>
        </w:rPr>
      </w:pPr>
      <w:r w:rsidRPr="008E4AB1">
        <w:rPr>
          <w:sz w:val="28"/>
          <w:szCs w:val="28"/>
        </w:rPr>
        <w:t xml:space="preserve">1. Hội Kiểm toán viên hành nghề Việt Nam chịu trách nhiệm phổ biến, triển khai và hướng dẫn thực hiện hệ thống chuẩn mực kiểm toán Việt Nam ban hành tại Thông tư này. </w:t>
      </w:r>
    </w:p>
    <w:p w:rsidR="008E4AB1" w:rsidRPr="008E4AB1" w:rsidRDefault="008E4AB1" w:rsidP="008E4AB1">
      <w:pPr>
        <w:spacing w:before="120" w:line="312" w:lineRule="auto"/>
        <w:jc w:val="both"/>
        <w:rPr>
          <w:sz w:val="28"/>
          <w:szCs w:val="28"/>
        </w:rPr>
      </w:pPr>
      <w:r w:rsidRPr="008E4AB1">
        <w:rPr>
          <w:sz w:val="28"/>
          <w:szCs w:val="28"/>
        </w:rPr>
        <w:t xml:space="preserve">        2. Vụ trưởng Vụ Chế độ kế toán và kiểm toán, Chánh Văn phòng Bộ và Thủ trưởng các đơn vị có liên quan chịu trách nhiệm hướng dẫn, kiểm tra và thi hành Thông tư này.</w:t>
      </w:r>
    </w:p>
    <w:tbl>
      <w:tblPr>
        <w:tblW w:w="8975" w:type="dxa"/>
        <w:jc w:val="center"/>
        <w:tblLook w:val="04A0" w:firstRow="1" w:lastRow="0" w:firstColumn="1" w:lastColumn="0" w:noHBand="0" w:noVBand="1"/>
      </w:tblPr>
      <w:tblGrid>
        <w:gridCol w:w="6120"/>
        <w:gridCol w:w="2855"/>
      </w:tblGrid>
      <w:tr w:rsidR="008E4AB1" w:rsidTr="008E4AB1">
        <w:trPr>
          <w:trHeight w:val="719"/>
          <w:jc w:val="center"/>
        </w:trPr>
        <w:tc>
          <w:tcPr>
            <w:tcW w:w="6120" w:type="dxa"/>
            <w:hideMark/>
          </w:tcPr>
          <w:p w:rsidR="008E4AB1" w:rsidRDefault="008E4AB1">
            <w:pPr>
              <w:spacing w:before="240"/>
              <w:rPr>
                <w:b/>
                <w:bCs/>
                <w:i/>
                <w:iCs/>
                <w:szCs w:val="24"/>
              </w:rPr>
            </w:pPr>
            <w:r>
              <w:rPr>
                <w:sz w:val="28"/>
                <w:szCs w:val="28"/>
              </w:rPr>
              <w:t xml:space="preserve"> </w:t>
            </w:r>
            <w:r>
              <w:rPr>
                <w:b/>
                <w:bCs/>
                <w:i/>
                <w:iCs/>
              </w:rPr>
              <w:t>Nơi nhận:</w:t>
            </w:r>
          </w:p>
          <w:p w:rsidR="008E4AB1" w:rsidRDefault="008E4AB1">
            <w:pPr>
              <w:pStyle w:val="BodyText"/>
              <w:spacing w:before="60"/>
              <w:rPr>
                <w:sz w:val="22"/>
                <w:szCs w:val="22"/>
                <w:lang w:val="vi-VN" w:eastAsia="en-US"/>
              </w:rPr>
            </w:pPr>
            <w:r>
              <w:rPr>
                <w:sz w:val="22"/>
                <w:szCs w:val="22"/>
                <w:lang w:val="vi-VN" w:eastAsia="en-US"/>
              </w:rPr>
              <w:t>- Văn phòng Tổng Bí thư;</w:t>
            </w:r>
          </w:p>
          <w:p w:rsidR="008E4AB1" w:rsidRDefault="008E4AB1">
            <w:pPr>
              <w:pStyle w:val="BodyText"/>
              <w:spacing w:before="60"/>
              <w:rPr>
                <w:sz w:val="22"/>
                <w:szCs w:val="22"/>
                <w:lang w:val="vi-VN" w:eastAsia="en-US"/>
              </w:rPr>
            </w:pPr>
            <w:r>
              <w:rPr>
                <w:sz w:val="22"/>
                <w:szCs w:val="22"/>
                <w:lang w:val="vi-VN" w:eastAsia="en-US"/>
              </w:rPr>
              <w:t>- Văn phòng Quốc hội;</w:t>
            </w:r>
          </w:p>
          <w:p w:rsidR="008E4AB1" w:rsidRDefault="008E4AB1">
            <w:pPr>
              <w:pStyle w:val="BodyText"/>
              <w:spacing w:before="60"/>
              <w:rPr>
                <w:sz w:val="22"/>
                <w:szCs w:val="22"/>
                <w:lang w:val="vi-VN" w:eastAsia="en-US"/>
              </w:rPr>
            </w:pPr>
            <w:r>
              <w:rPr>
                <w:sz w:val="22"/>
                <w:szCs w:val="22"/>
                <w:lang w:val="vi-VN" w:eastAsia="en-US"/>
              </w:rPr>
              <w:t>- Văn phòng Chủ tịch nước;</w:t>
            </w:r>
          </w:p>
          <w:p w:rsidR="008E4AB1" w:rsidRDefault="008E4AB1">
            <w:pPr>
              <w:pStyle w:val="BodyText"/>
              <w:spacing w:before="60"/>
              <w:ind w:right="-137"/>
              <w:rPr>
                <w:sz w:val="22"/>
                <w:szCs w:val="22"/>
                <w:lang w:val="vi-VN" w:eastAsia="en-US"/>
              </w:rPr>
            </w:pPr>
            <w:r>
              <w:rPr>
                <w:sz w:val="22"/>
                <w:szCs w:val="22"/>
                <w:lang w:val="vi-VN" w:eastAsia="en-US"/>
              </w:rPr>
              <w:t>- Văn phòng TW và các Ban của Đảng;</w:t>
            </w:r>
          </w:p>
          <w:p w:rsidR="008E4AB1" w:rsidRDefault="008E4AB1">
            <w:pPr>
              <w:pStyle w:val="BodyText"/>
              <w:spacing w:before="60"/>
              <w:rPr>
                <w:sz w:val="22"/>
                <w:szCs w:val="22"/>
                <w:lang w:val="vi-VN" w:eastAsia="en-US"/>
              </w:rPr>
            </w:pPr>
            <w:r>
              <w:rPr>
                <w:sz w:val="22"/>
                <w:szCs w:val="22"/>
                <w:lang w:val="vi-VN" w:eastAsia="en-US"/>
              </w:rPr>
              <w:t>- Văn phòng Chính phủ;</w:t>
            </w:r>
          </w:p>
          <w:p w:rsidR="008E4AB1" w:rsidRDefault="008E4AB1">
            <w:pPr>
              <w:pStyle w:val="BodyText"/>
              <w:spacing w:before="60"/>
              <w:rPr>
                <w:sz w:val="22"/>
                <w:szCs w:val="22"/>
                <w:lang w:val="vi-VN" w:eastAsia="en-US"/>
              </w:rPr>
            </w:pPr>
            <w:r>
              <w:rPr>
                <w:sz w:val="22"/>
                <w:szCs w:val="22"/>
                <w:lang w:val="vi-VN" w:eastAsia="en-US"/>
              </w:rPr>
              <w:t>- Viện Kiểm sát NDTC, Toà án NDTC;</w:t>
            </w:r>
          </w:p>
          <w:p w:rsidR="008E4AB1" w:rsidRDefault="008E4AB1">
            <w:pPr>
              <w:pStyle w:val="BodyText"/>
              <w:spacing w:before="60"/>
              <w:rPr>
                <w:sz w:val="22"/>
                <w:szCs w:val="22"/>
                <w:lang w:val="vi-VN" w:eastAsia="en-US"/>
              </w:rPr>
            </w:pPr>
            <w:r>
              <w:rPr>
                <w:sz w:val="22"/>
                <w:szCs w:val="22"/>
                <w:lang w:val="vi-VN" w:eastAsia="en-US"/>
              </w:rPr>
              <w:t>- Kiểm  toán Nhà nước;</w:t>
            </w:r>
          </w:p>
          <w:p w:rsidR="008E4AB1" w:rsidRDefault="008E4AB1">
            <w:pPr>
              <w:pStyle w:val="BodyText"/>
              <w:spacing w:before="60"/>
              <w:rPr>
                <w:sz w:val="22"/>
                <w:szCs w:val="22"/>
                <w:lang w:val="vi-VN" w:eastAsia="en-US"/>
              </w:rPr>
            </w:pPr>
            <w:r>
              <w:rPr>
                <w:sz w:val="22"/>
                <w:szCs w:val="22"/>
                <w:lang w:val="vi-VN" w:eastAsia="en-US"/>
              </w:rPr>
              <w:t xml:space="preserve">- Các Bộ, cơ quan ngang Bộ, cơ quan  thuộc CP;  </w:t>
            </w:r>
          </w:p>
          <w:p w:rsidR="008E4AB1" w:rsidRDefault="008E4AB1">
            <w:pPr>
              <w:pStyle w:val="BodyText"/>
              <w:spacing w:before="60"/>
              <w:rPr>
                <w:sz w:val="22"/>
                <w:szCs w:val="22"/>
                <w:lang w:val="vi-VN" w:eastAsia="en-US"/>
              </w:rPr>
            </w:pPr>
            <w:r>
              <w:rPr>
                <w:sz w:val="22"/>
                <w:szCs w:val="22"/>
                <w:lang w:val="vi-VN" w:eastAsia="en-US"/>
              </w:rPr>
              <w:t>- UBND tỉnh, TP trực thuộc TW;</w:t>
            </w:r>
          </w:p>
          <w:p w:rsidR="008E4AB1" w:rsidRPr="008E4AB1" w:rsidRDefault="008E4AB1">
            <w:pPr>
              <w:pStyle w:val="BodyText"/>
              <w:spacing w:before="60"/>
              <w:rPr>
                <w:sz w:val="22"/>
                <w:szCs w:val="22"/>
                <w:lang w:val="vi-VN" w:eastAsia="en-US"/>
              </w:rPr>
            </w:pPr>
            <w:r>
              <w:rPr>
                <w:sz w:val="22"/>
                <w:szCs w:val="22"/>
                <w:lang w:val="vi-VN" w:eastAsia="en-US"/>
              </w:rPr>
              <w:t>- Cục kiểm tra văn bản - Bộ Tư pháp</w:t>
            </w:r>
            <w:r w:rsidRPr="008E4AB1">
              <w:rPr>
                <w:sz w:val="22"/>
                <w:szCs w:val="22"/>
                <w:lang w:val="vi-VN" w:eastAsia="en-US"/>
              </w:rPr>
              <w:t>;</w:t>
            </w:r>
          </w:p>
          <w:p w:rsidR="008E4AB1" w:rsidRDefault="008E4AB1">
            <w:pPr>
              <w:pStyle w:val="BodyText"/>
              <w:spacing w:before="60"/>
              <w:rPr>
                <w:sz w:val="22"/>
                <w:szCs w:val="22"/>
                <w:lang w:val="vi-VN" w:eastAsia="en-US"/>
              </w:rPr>
            </w:pPr>
            <w:r>
              <w:rPr>
                <w:sz w:val="22"/>
                <w:szCs w:val="22"/>
                <w:lang w:val="vi-VN" w:eastAsia="en-US"/>
              </w:rPr>
              <w:lastRenderedPageBreak/>
              <w:t>- Các đơn vị thuộc và trực thuộc Bộ Tài chính;</w:t>
            </w:r>
          </w:p>
          <w:p w:rsidR="008E4AB1" w:rsidRDefault="008E4AB1">
            <w:pPr>
              <w:pStyle w:val="BodyText"/>
              <w:spacing w:before="60"/>
              <w:rPr>
                <w:sz w:val="22"/>
                <w:szCs w:val="22"/>
                <w:lang w:val="vi-VN" w:eastAsia="en-US"/>
              </w:rPr>
            </w:pPr>
            <w:r>
              <w:rPr>
                <w:sz w:val="22"/>
                <w:szCs w:val="22"/>
                <w:lang w:val="vi-VN" w:eastAsia="en-US"/>
              </w:rPr>
              <w:t>- Hội Kế toán và kiểm toán Việt Nam (VAA);</w:t>
            </w:r>
          </w:p>
          <w:p w:rsidR="008E4AB1" w:rsidRDefault="008E4AB1">
            <w:pPr>
              <w:pStyle w:val="BodyText"/>
              <w:spacing w:before="60"/>
              <w:rPr>
                <w:sz w:val="22"/>
                <w:szCs w:val="22"/>
                <w:lang w:val="vi-VN" w:eastAsia="en-US"/>
              </w:rPr>
            </w:pPr>
            <w:r>
              <w:rPr>
                <w:sz w:val="22"/>
                <w:szCs w:val="22"/>
                <w:lang w:val="vi-VN" w:eastAsia="en-US"/>
              </w:rPr>
              <w:t>- Hội Kiểm toán viên hành nghề Việt Nam (VACPA);</w:t>
            </w:r>
          </w:p>
          <w:p w:rsidR="008E4AB1" w:rsidRDefault="008E4AB1">
            <w:pPr>
              <w:pStyle w:val="BodyText"/>
              <w:spacing w:before="60"/>
              <w:rPr>
                <w:sz w:val="22"/>
                <w:szCs w:val="22"/>
                <w:lang w:val="vi-VN" w:eastAsia="en-US"/>
              </w:rPr>
            </w:pPr>
            <w:r>
              <w:rPr>
                <w:sz w:val="22"/>
                <w:szCs w:val="22"/>
                <w:lang w:val="vi-VN" w:eastAsia="en-US"/>
              </w:rPr>
              <w:t>- Các doanh nghiệp kiểm toán;</w:t>
            </w:r>
          </w:p>
          <w:p w:rsidR="008E4AB1" w:rsidRDefault="008E4AB1">
            <w:pPr>
              <w:pStyle w:val="BodyText"/>
              <w:spacing w:before="60"/>
              <w:rPr>
                <w:sz w:val="22"/>
                <w:szCs w:val="22"/>
                <w:lang w:val="vi-VN" w:eastAsia="en-US"/>
              </w:rPr>
            </w:pPr>
            <w:r>
              <w:rPr>
                <w:sz w:val="22"/>
                <w:szCs w:val="22"/>
                <w:lang w:val="vi-VN" w:eastAsia="en-US"/>
              </w:rPr>
              <w:t>- Công báo; VP Ban chỉ đạo TW về PC tham nhũng;</w:t>
            </w:r>
          </w:p>
          <w:p w:rsidR="008E4AB1" w:rsidRDefault="008E4AB1">
            <w:pPr>
              <w:spacing w:before="60"/>
              <w:jc w:val="both"/>
              <w:rPr>
                <w:sz w:val="22"/>
                <w:lang w:eastAsia="vi-VN"/>
              </w:rPr>
            </w:pPr>
            <w:r>
              <w:rPr>
                <w:sz w:val="22"/>
              </w:rPr>
              <w:t>- Website Chính phủ và Website Bộ Tài chính;</w:t>
            </w:r>
          </w:p>
          <w:p w:rsidR="008E4AB1" w:rsidRDefault="008E4AB1">
            <w:pPr>
              <w:spacing w:before="60"/>
              <w:jc w:val="both"/>
              <w:rPr>
                <w:szCs w:val="24"/>
                <w:lang w:val="nl-NL"/>
              </w:rPr>
            </w:pPr>
            <w:r>
              <w:rPr>
                <w:sz w:val="22"/>
                <w:lang w:val="nl-NL"/>
              </w:rPr>
              <w:t>- Lưu: VT, Vụ CĐKT.</w:t>
            </w:r>
          </w:p>
        </w:tc>
        <w:tc>
          <w:tcPr>
            <w:tcW w:w="2855" w:type="dxa"/>
          </w:tcPr>
          <w:p w:rsidR="008E4AB1" w:rsidRDefault="008E4AB1">
            <w:pPr>
              <w:spacing w:before="240"/>
              <w:jc w:val="center"/>
              <w:rPr>
                <w:b/>
                <w:bCs/>
                <w:lang w:val="nl-NL"/>
              </w:rPr>
            </w:pPr>
            <w:r>
              <w:rPr>
                <w:b/>
                <w:bCs/>
                <w:lang w:val="nl-NL"/>
              </w:rPr>
              <w:lastRenderedPageBreak/>
              <w:t>KT. BỘ TRƯỞNG</w:t>
            </w:r>
          </w:p>
          <w:p w:rsidR="008E4AB1" w:rsidRDefault="008E4AB1">
            <w:pPr>
              <w:spacing w:before="60"/>
              <w:jc w:val="center"/>
              <w:rPr>
                <w:b/>
                <w:bCs/>
                <w:lang w:val="nl-NL"/>
              </w:rPr>
            </w:pPr>
            <w:r>
              <w:rPr>
                <w:b/>
                <w:bCs/>
                <w:lang w:val="nl-NL"/>
              </w:rPr>
              <w:t>THỨ TRƯỞNG</w:t>
            </w:r>
          </w:p>
          <w:p w:rsidR="008E4AB1" w:rsidRDefault="008E4AB1">
            <w:pPr>
              <w:spacing w:before="60"/>
              <w:jc w:val="center"/>
              <w:rPr>
                <w:b/>
                <w:bCs/>
                <w:lang w:val="nl-NL"/>
              </w:rPr>
            </w:pPr>
          </w:p>
          <w:p w:rsidR="008E4AB1" w:rsidRDefault="008E4AB1">
            <w:pPr>
              <w:spacing w:before="60"/>
              <w:jc w:val="center"/>
              <w:rPr>
                <w:b/>
                <w:bCs/>
                <w:lang w:val="nl-NL"/>
              </w:rPr>
            </w:pPr>
          </w:p>
          <w:p w:rsidR="008E4AB1" w:rsidRDefault="008E4AB1">
            <w:pPr>
              <w:pStyle w:val="Heading4"/>
              <w:spacing w:before="60"/>
              <w:rPr>
                <w:bCs/>
                <w:sz w:val="22"/>
                <w:lang w:val="nl-NL" w:eastAsia="en-US"/>
              </w:rPr>
            </w:pPr>
          </w:p>
          <w:p w:rsidR="008E4AB1" w:rsidRDefault="008E4AB1">
            <w:pPr>
              <w:spacing w:before="60"/>
              <w:rPr>
                <w:lang w:val="nl-NL" w:eastAsia="vi-VN"/>
              </w:rPr>
            </w:pPr>
          </w:p>
          <w:p w:rsidR="008E4AB1" w:rsidRDefault="008E4AB1">
            <w:pPr>
              <w:spacing w:before="60"/>
              <w:jc w:val="center"/>
              <w:rPr>
                <w:b/>
                <w:bCs/>
                <w:sz w:val="28"/>
                <w:szCs w:val="28"/>
                <w:lang w:val="nl-NL"/>
              </w:rPr>
            </w:pPr>
            <w:r>
              <w:rPr>
                <w:b/>
                <w:bCs/>
                <w:sz w:val="28"/>
                <w:szCs w:val="28"/>
                <w:lang w:val="nl-NL"/>
              </w:rPr>
              <w:t>Trần Xuân Hà</w:t>
            </w:r>
          </w:p>
        </w:tc>
      </w:tr>
    </w:tbl>
    <w:p w:rsidR="008E4AB1" w:rsidRDefault="008E4AB1" w:rsidP="008E4AB1">
      <w:pPr>
        <w:spacing w:before="120"/>
        <w:jc w:val="both"/>
        <w:rPr>
          <w:szCs w:val="24"/>
          <w:lang w:val="nl-NL"/>
        </w:rPr>
      </w:pPr>
    </w:p>
    <w:p w:rsidR="0008542E" w:rsidRPr="008E4AB1" w:rsidRDefault="0008542E" w:rsidP="008E4AB1">
      <w:pPr>
        <w:rPr>
          <w:lang w:val="nl-NL"/>
        </w:rPr>
      </w:pPr>
      <w:bookmarkStart w:id="0" w:name="_GoBack"/>
      <w:bookmarkEnd w:id="0"/>
    </w:p>
    <w:sectPr w:rsidR="0008542E" w:rsidRPr="008E4A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2A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A3"/>
    <w:family w:val="swiss"/>
    <w:pitch w:val="variable"/>
    <w:sig w:usb0="A10006FF" w:usb1="4000205B" w:usb2="00000010" w:usb3="00000000" w:csb0="000001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A3"/>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0"/>
        </w:tabs>
        <w:ind w:left="0" w:firstLine="0"/>
      </w:pPr>
    </w:lvl>
  </w:abstractNum>
  <w:abstractNum w:abstractNumId="1" w15:restartNumberingAfterBreak="0">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1080"/>
        </w:tabs>
        <w:ind w:left="1080" w:hanging="360"/>
      </w:pPr>
    </w:lvl>
    <w:lvl w:ilvl="1">
      <w:start w:val="1"/>
      <w:numFmt w:val="lowerLetter"/>
      <w:lvlText w:val="%2)"/>
      <w:lvlJc w:val="left"/>
      <w:pPr>
        <w:tabs>
          <w:tab w:val="num" w:pos="-630"/>
        </w:tabs>
        <w:ind w:left="-630" w:firstLine="72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0" w:firstLine="720"/>
      </w:pPr>
    </w:lvl>
  </w:abstractNum>
  <w:abstractNum w:abstractNumId="4" w15:restartNumberingAfterBreak="0">
    <w:nsid w:val="00000006"/>
    <w:multiLevelType w:val="singleLevel"/>
    <w:tmpl w:val="00000006"/>
    <w:name w:val="WW8Num6"/>
    <w:lvl w:ilvl="0">
      <w:start w:val="1"/>
      <w:numFmt w:val="decimal"/>
      <w:lvlText w:val="%1."/>
      <w:lvlJc w:val="left"/>
      <w:pPr>
        <w:tabs>
          <w:tab w:val="num" w:pos="1755"/>
        </w:tabs>
        <w:ind w:left="1755" w:hanging="1035"/>
      </w:pPr>
    </w:lvl>
  </w:abstractNum>
  <w:abstractNum w:abstractNumId="5" w15:restartNumberingAfterBreak="0">
    <w:nsid w:val="00000007"/>
    <w:multiLevelType w:val="singleLevel"/>
    <w:tmpl w:val="00000007"/>
    <w:name w:val="WW8Num7"/>
    <w:lvl w:ilvl="0">
      <w:start w:val="2"/>
      <w:numFmt w:val="decimal"/>
      <w:lvlText w:val="%1."/>
      <w:lvlJc w:val="left"/>
      <w:pPr>
        <w:tabs>
          <w:tab w:val="num" w:pos="720"/>
        </w:tabs>
        <w:ind w:left="720" w:hanging="360"/>
      </w:pPr>
      <w:rPr>
        <w:b w:val="0"/>
      </w:rPr>
    </w:lvl>
  </w:abstractNum>
  <w:abstractNum w:abstractNumId="6" w15:restartNumberingAfterBreak="0">
    <w:nsid w:val="00000008"/>
    <w:multiLevelType w:val="singleLevel"/>
    <w:tmpl w:val="00000008"/>
    <w:name w:val="WW8Num8"/>
    <w:lvl w:ilvl="0">
      <w:start w:val="1"/>
      <w:numFmt w:val="lowerLetter"/>
      <w:lvlText w:val="%1)"/>
      <w:lvlJc w:val="left"/>
      <w:pPr>
        <w:tabs>
          <w:tab w:val="num" w:pos="1080"/>
        </w:tabs>
        <w:ind w:left="1080" w:hanging="360"/>
      </w:pPr>
    </w:lvl>
  </w:abstractNum>
  <w:abstractNum w:abstractNumId="7" w15:restartNumberingAfterBreak="0">
    <w:nsid w:val="00000009"/>
    <w:multiLevelType w:val="singleLevel"/>
    <w:tmpl w:val="00000009"/>
    <w:name w:val="WW8Num9"/>
    <w:lvl w:ilvl="0">
      <w:start w:val="6"/>
      <w:numFmt w:val="decimal"/>
      <w:lvlText w:val="%1."/>
      <w:lvlJc w:val="left"/>
      <w:pPr>
        <w:tabs>
          <w:tab w:val="num" w:pos="720"/>
        </w:tabs>
        <w:ind w:left="720" w:hanging="360"/>
      </w:pPr>
    </w:lvl>
  </w:abstractNum>
  <w:abstractNum w:abstractNumId="8" w15:restartNumberingAfterBreak="0">
    <w:nsid w:val="0000000A"/>
    <w:multiLevelType w:val="singleLevel"/>
    <w:tmpl w:val="0000000A"/>
    <w:name w:val="WW8Num10"/>
    <w:lvl w:ilvl="0">
      <w:start w:val="1"/>
      <w:numFmt w:val="lowerLetter"/>
      <w:lvlText w:val="%1)"/>
      <w:lvlJc w:val="left"/>
      <w:pPr>
        <w:tabs>
          <w:tab w:val="num" w:pos="567"/>
        </w:tabs>
        <w:ind w:left="567" w:firstLine="153"/>
      </w:pPr>
    </w:lvl>
  </w:abstractNum>
  <w:abstractNum w:abstractNumId="9" w15:restartNumberingAfterBreak="0">
    <w:nsid w:val="0000000B"/>
    <w:multiLevelType w:val="singleLevel"/>
    <w:tmpl w:val="0000000B"/>
    <w:name w:val="WW8Num13"/>
    <w:lvl w:ilvl="0">
      <w:start w:val="1"/>
      <w:numFmt w:val="decimal"/>
      <w:lvlText w:val="%1."/>
      <w:lvlJc w:val="left"/>
      <w:pPr>
        <w:tabs>
          <w:tab w:val="num" w:pos="0"/>
        </w:tabs>
        <w:ind w:left="0" w:firstLine="720"/>
      </w:pPr>
    </w:lvl>
  </w:abstractNum>
  <w:abstractNum w:abstractNumId="10" w15:restartNumberingAfterBreak="0">
    <w:nsid w:val="0000000C"/>
    <w:multiLevelType w:val="singleLevel"/>
    <w:tmpl w:val="0000000C"/>
    <w:name w:val="WW8Num14"/>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11" w15:restartNumberingAfterBreak="0">
    <w:nsid w:val="0000000D"/>
    <w:multiLevelType w:val="multilevel"/>
    <w:tmpl w:val="0000000D"/>
    <w:name w:val="WW8Num15"/>
    <w:lvl w:ilvl="0">
      <w:start w:val="1"/>
      <w:numFmt w:val="decimal"/>
      <w:lvlText w:val="%1."/>
      <w:lvlJc w:val="left"/>
      <w:pPr>
        <w:tabs>
          <w:tab w:val="num" w:pos="567"/>
        </w:tabs>
        <w:ind w:left="567" w:firstLine="720"/>
      </w:pPr>
    </w:lvl>
    <w:lvl w:ilvl="1">
      <w:start w:val="1"/>
      <w:numFmt w:val="lowerLetter"/>
      <w:lvlText w:val="%2)"/>
      <w:lvlJc w:val="left"/>
      <w:pPr>
        <w:tabs>
          <w:tab w:val="num" w:pos="567"/>
        </w:tabs>
        <w:ind w:left="567" w:firstLine="72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2" w15:restartNumberingAfterBreak="0">
    <w:nsid w:val="0000000E"/>
    <w:multiLevelType w:val="multilevel"/>
    <w:tmpl w:val="0000000E"/>
    <w:name w:val="WW8Num16"/>
    <w:lvl w:ilvl="0">
      <w:start w:val="1"/>
      <w:numFmt w:val="lowerLetter"/>
      <w:lvlText w:val="%1)"/>
      <w:lvlJc w:val="left"/>
      <w:pPr>
        <w:tabs>
          <w:tab w:val="num" w:pos="0"/>
        </w:tabs>
        <w:ind w:left="0" w:firstLine="567"/>
      </w:pPr>
    </w:lvl>
    <w:lvl w:ilvl="1">
      <w:start w:val="1"/>
      <w:numFmt w:val="lowerRoman"/>
      <w:lvlText w:val="%2."/>
      <w:lvlJc w:val="right"/>
      <w:pPr>
        <w:tabs>
          <w:tab w:val="num" w:pos="229"/>
        </w:tabs>
        <w:ind w:left="229" w:firstLine="851"/>
      </w:pPr>
    </w:lvl>
    <w:lvl w:ilvl="2">
      <w:start w:val="6"/>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ED6024EE"/>
    <w:name w:val="WW8Num17"/>
    <w:lvl w:ilvl="0">
      <w:start w:val="1"/>
      <w:numFmt w:val="decimal"/>
      <w:lvlText w:val="%1."/>
      <w:lvlJc w:val="left"/>
      <w:pPr>
        <w:tabs>
          <w:tab w:val="num" w:pos="720"/>
        </w:tabs>
        <w:ind w:left="720" w:hanging="360"/>
      </w:pPr>
    </w:lvl>
    <w:lvl w:ilvl="1">
      <w:start w:val="1"/>
      <w:numFmt w:val="lowerLetter"/>
      <w:lvlText w:val="%2)"/>
      <w:lvlJc w:val="left"/>
      <w:pPr>
        <w:tabs>
          <w:tab w:val="num" w:pos="567"/>
        </w:tabs>
        <w:ind w:left="567" w:firstLine="72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4" w15:restartNumberingAfterBreak="0">
    <w:nsid w:val="00000010"/>
    <w:multiLevelType w:val="singleLevel"/>
    <w:tmpl w:val="00000010"/>
    <w:name w:val="WW8Num18"/>
    <w:lvl w:ilvl="0">
      <w:start w:val="3"/>
      <w:numFmt w:val="bullet"/>
      <w:lvlText w:val="-"/>
      <w:lvlJc w:val="left"/>
      <w:pPr>
        <w:tabs>
          <w:tab w:val="num" w:pos="720"/>
        </w:tabs>
        <w:ind w:left="720" w:hanging="360"/>
      </w:pPr>
      <w:rPr>
        <w:rFonts w:ascii="Times New Roman" w:hAnsi="Times New Roman" w:cs="Times New Roman"/>
      </w:rPr>
    </w:lvl>
  </w:abstractNum>
  <w:abstractNum w:abstractNumId="15" w15:restartNumberingAfterBreak="0">
    <w:nsid w:val="14715B7B"/>
    <w:multiLevelType w:val="hybridMultilevel"/>
    <w:tmpl w:val="A65A3CEC"/>
    <w:lvl w:ilvl="0" w:tplc="874C05B0">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A913C5C"/>
    <w:multiLevelType w:val="hybridMultilevel"/>
    <w:tmpl w:val="70FCCD68"/>
    <w:lvl w:ilvl="0" w:tplc="F566F6CC">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DEE4088"/>
    <w:multiLevelType w:val="hybridMultilevel"/>
    <w:tmpl w:val="8528B9D4"/>
    <w:lvl w:ilvl="0" w:tplc="75083FD0">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A404D52"/>
    <w:multiLevelType w:val="multilevel"/>
    <w:tmpl w:val="8632B922"/>
    <w:lvl w:ilvl="0">
      <w:start w:val="1"/>
      <w:numFmt w:val="decimal"/>
      <w:lvlText w:val="%1."/>
      <w:lvlJc w:val="left"/>
      <w:pPr>
        <w:ind w:left="900" w:hanging="360"/>
      </w:pPr>
    </w:lvl>
    <w:lvl w:ilvl="1">
      <w:start w:val="1"/>
      <w:numFmt w:val="decimal"/>
      <w:isLgl/>
      <w:lvlText w:val="%1.%2."/>
      <w:lvlJc w:val="left"/>
      <w:pPr>
        <w:ind w:left="1260" w:hanging="720"/>
      </w:p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1980" w:hanging="1440"/>
      </w:pPr>
    </w:lvl>
    <w:lvl w:ilvl="7">
      <w:start w:val="1"/>
      <w:numFmt w:val="decimal"/>
      <w:isLgl/>
      <w:lvlText w:val="%1.%2.%3.%4.%5.%6.%7.%8."/>
      <w:lvlJc w:val="left"/>
      <w:pPr>
        <w:ind w:left="2340" w:hanging="1800"/>
      </w:pPr>
    </w:lvl>
    <w:lvl w:ilvl="8">
      <w:start w:val="1"/>
      <w:numFmt w:val="decimal"/>
      <w:isLgl/>
      <w:lvlText w:val="%1.%2.%3.%4.%5.%6.%7.%8.%9."/>
      <w:lvlJc w:val="left"/>
      <w:pPr>
        <w:ind w:left="2340" w:hanging="1800"/>
      </w:pPr>
    </w:lvl>
  </w:abstractNum>
  <w:abstractNum w:abstractNumId="19" w15:restartNumberingAfterBreak="0">
    <w:nsid w:val="4E6E2887"/>
    <w:multiLevelType w:val="multilevel"/>
    <w:tmpl w:val="0409001D"/>
    <w:styleLink w:val="Style1"/>
    <w:lvl w:ilvl="0">
      <w:start w:val="8"/>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9"/>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05"/>
    <w:rsid w:val="0008542E"/>
    <w:rsid w:val="00353B5A"/>
    <w:rsid w:val="0037261E"/>
    <w:rsid w:val="00474476"/>
    <w:rsid w:val="005F7405"/>
    <w:rsid w:val="008E4AB1"/>
    <w:rsid w:val="00D27632"/>
    <w:rsid w:val="00D728AE"/>
    <w:rsid w:val="00D901DB"/>
    <w:rsid w:val="00DA00FC"/>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0BD44"/>
  <w15:chartTrackingRefBased/>
  <w15:docId w15:val="{1FAB1BD4-0346-4C00-9B8A-B5F87D34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405"/>
    <w:pPr>
      <w:keepNext/>
      <w:spacing w:after="0" w:line="312" w:lineRule="auto"/>
      <w:jc w:val="center"/>
      <w:outlineLvl w:val="0"/>
    </w:pPr>
    <w:rPr>
      <w:rFonts w:ascii=".VnTimeH" w:eastAsia="Times New Roman" w:hAnsi=".VnTimeH" w:cs="Times New Roman"/>
      <w:b/>
      <w:sz w:val="28"/>
      <w:szCs w:val="20"/>
      <w:lang w:val="x-none" w:eastAsia="x-none"/>
    </w:rPr>
  </w:style>
  <w:style w:type="paragraph" w:styleId="Heading2">
    <w:name w:val="heading 2"/>
    <w:basedOn w:val="Normal"/>
    <w:next w:val="Normal"/>
    <w:link w:val="Heading2Char"/>
    <w:uiPriority w:val="9"/>
    <w:qFormat/>
    <w:rsid w:val="005F7405"/>
    <w:pPr>
      <w:keepNext/>
      <w:spacing w:after="0" w:line="312" w:lineRule="auto"/>
      <w:jc w:val="center"/>
      <w:outlineLvl w:val="1"/>
    </w:pPr>
    <w:rPr>
      <w:rFonts w:ascii=".VnTimeH" w:eastAsia="Times New Roman" w:hAnsi=".VnTimeH" w:cs="Times New Roman"/>
      <w:b/>
      <w:szCs w:val="20"/>
      <w:lang w:val="x-none" w:eastAsia="x-none"/>
    </w:rPr>
  </w:style>
  <w:style w:type="paragraph" w:styleId="Heading3">
    <w:name w:val="heading 3"/>
    <w:basedOn w:val="Normal"/>
    <w:next w:val="Normal"/>
    <w:link w:val="Heading3Char"/>
    <w:uiPriority w:val="9"/>
    <w:qFormat/>
    <w:rsid w:val="00D728AE"/>
    <w:pPr>
      <w:keepNext/>
      <w:spacing w:before="20" w:after="0" w:line="264" w:lineRule="auto"/>
      <w:jc w:val="center"/>
      <w:outlineLvl w:val="2"/>
    </w:pPr>
    <w:rPr>
      <w:rFonts w:ascii=".VnTime" w:eastAsia="Times New Roman" w:hAnsi=".VnTime" w:cs="Times New Roman"/>
      <w:i/>
      <w:sz w:val="28"/>
      <w:szCs w:val="24"/>
      <w:lang w:eastAsia="vi-VN"/>
    </w:rPr>
  </w:style>
  <w:style w:type="paragraph" w:styleId="Heading4">
    <w:name w:val="heading 4"/>
    <w:basedOn w:val="Normal"/>
    <w:next w:val="Normal"/>
    <w:link w:val="Heading4Char"/>
    <w:uiPriority w:val="9"/>
    <w:qFormat/>
    <w:rsid w:val="005F7405"/>
    <w:pPr>
      <w:keepNext/>
      <w:spacing w:after="0" w:line="240" w:lineRule="auto"/>
      <w:outlineLvl w:val="3"/>
    </w:pPr>
    <w:rPr>
      <w:rFonts w:ascii=".VnArial NarrowH" w:eastAsia="Times New Roman" w:hAnsi=".VnArial NarrowH" w:cs="Times New Roman"/>
      <w:b/>
      <w:sz w:val="20"/>
      <w:szCs w:val="20"/>
      <w:lang w:val="x-none" w:eastAsia="x-none"/>
    </w:rPr>
  </w:style>
  <w:style w:type="paragraph" w:styleId="Heading5">
    <w:name w:val="heading 5"/>
    <w:basedOn w:val="Normal"/>
    <w:next w:val="Normal"/>
    <w:link w:val="Heading5Char"/>
    <w:uiPriority w:val="9"/>
    <w:qFormat/>
    <w:rsid w:val="00D728AE"/>
    <w:pPr>
      <w:keepNext/>
      <w:spacing w:before="20" w:after="0" w:line="264" w:lineRule="auto"/>
      <w:jc w:val="center"/>
      <w:outlineLvl w:val="4"/>
    </w:pPr>
    <w:rPr>
      <w:rFonts w:ascii=".VnTimeH" w:eastAsia="Times New Roman" w:hAnsi=".VnTimeH" w:cs="Times New Roman"/>
      <w:b/>
      <w:szCs w:val="24"/>
      <w:lang w:eastAsia="vi-VN"/>
    </w:rPr>
  </w:style>
  <w:style w:type="paragraph" w:styleId="Heading7">
    <w:name w:val="heading 7"/>
    <w:basedOn w:val="Normal"/>
    <w:next w:val="Normal"/>
    <w:link w:val="Heading7Char"/>
    <w:uiPriority w:val="9"/>
    <w:qFormat/>
    <w:rsid w:val="005F7405"/>
    <w:pPr>
      <w:keepNext/>
      <w:tabs>
        <w:tab w:val="num" w:pos="0"/>
      </w:tabs>
      <w:suppressAutoHyphens/>
      <w:spacing w:after="0" w:line="312" w:lineRule="auto"/>
      <w:jc w:val="center"/>
      <w:outlineLvl w:val="6"/>
    </w:pPr>
    <w:rPr>
      <w:rFonts w:ascii=".VnTimeH" w:eastAsia="Times New Roman" w:hAnsi=".VnTimeH" w:cs="Times New Roman"/>
      <w:b/>
      <w:sz w:val="28"/>
      <w:szCs w:val="20"/>
      <w:lang w:val="x-none" w:eastAsia="ar-SA"/>
    </w:rPr>
  </w:style>
  <w:style w:type="paragraph" w:styleId="Heading8">
    <w:name w:val="heading 8"/>
    <w:basedOn w:val="Normal"/>
    <w:next w:val="Normal"/>
    <w:link w:val="Heading8Char"/>
    <w:uiPriority w:val="9"/>
    <w:qFormat/>
    <w:rsid w:val="005F7405"/>
    <w:pPr>
      <w:spacing w:before="240" w:after="60" w:line="240" w:lineRule="auto"/>
      <w:outlineLvl w:val="7"/>
    </w:pPr>
    <w:rPr>
      <w:rFonts w:ascii="Calibri" w:eastAsia="Times New Roman" w:hAnsi="Calibri" w:cs="Times New Roman"/>
      <w:i/>
      <w:iCs/>
      <w:color w:val="000000"/>
      <w:szCs w:val="24"/>
      <w:lang w:val="x-none" w:eastAsia="x-none"/>
    </w:rPr>
  </w:style>
  <w:style w:type="paragraph" w:styleId="Heading9">
    <w:name w:val="heading 9"/>
    <w:basedOn w:val="Normal"/>
    <w:next w:val="Normal"/>
    <w:link w:val="Heading9Char"/>
    <w:uiPriority w:val="9"/>
    <w:qFormat/>
    <w:rsid w:val="005F7405"/>
    <w:pPr>
      <w:keepNext/>
      <w:spacing w:after="0" w:line="240" w:lineRule="auto"/>
      <w:jc w:val="center"/>
      <w:outlineLvl w:val="8"/>
    </w:pPr>
    <w:rPr>
      <w:rFonts w:ascii=".VnTime" w:eastAsia="Times New Roman" w:hAnsi=".VnTime" w:cs="Times New Roman"/>
      <w:b/>
      <w:i/>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405"/>
    <w:rPr>
      <w:rFonts w:ascii=".VnTimeH" w:eastAsia="Times New Roman" w:hAnsi=".VnTimeH" w:cs="Times New Roman"/>
      <w:b/>
      <w:sz w:val="28"/>
      <w:szCs w:val="20"/>
      <w:lang w:val="x-none" w:eastAsia="x-none"/>
    </w:rPr>
  </w:style>
  <w:style w:type="character" w:customStyle="1" w:styleId="Heading2Char">
    <w:name w:val="Heading 2 Char"/>
    <w:basedOn w:val="DefaultParagraphFont"/>
    <w:link w:val="Heading2"/>
    <w:uiPriority w:val="9"/>
    <w:rsid w:val="005F7405"/>
    <w:rPr>
      <w:rFonts w:ascii=".VnTimeH" w:eastAsia="Times New Roman" w:hAnsi=".VnTimeH" w:cs="Times New Roman"/>
      <w:b/>
      <w:szCs w:val="20"/>
      <w:lang w:val="x-none" w:eastAsia="x-none"/>
    </w:rPr>
  </w:style>
  <w:style w:type="character" w:customStyle="1" w:styleId="Heading4Char">
    <w:name w:val="Heading 4 Char"/>
    <w:basedOn w:val="DefaultParagraphFont"/>
    <w:link w:val="Heading4"/>
    <w:uiPriority w:val="9"/>
    <w:rsid w:val="005F7405"/>
    <w:rPr>
      <w:rFonts w:ascii=".VnArial NarrowH" w:eastAsia="Times New Roman" w:hAnsi=".VnArial NarrowH" w:cs="Times New Roman"/>
      <w:b/>
      <w:sz w:val="20"/>
      <w:szCs w:val="20"/>
      <w:lang w:val="x-none" w:eastAsia="x-none"/>
    </w:rPr>
  </w:style>
  <w:style w:type="character" w:customStyle="1" w:styleId="Heading7Char">
    <w:name w:val="Heading 7 Char"/>
    <w:basedOn w:val="DefaultParagraphFont"/>
    <w:link w:val="Heading7"/>
    <w:uiPriority w:val="9"/>
    <w:rsid w:val="005F7405"/>
    <w:rPr>
      <w:rFonts w:ascii=".VnTimeH" w:eastAsia="Times New Roman" w:hAnsi=".VnTimeH" w:cs="Times New Roman"/>
      <w:b/>
      <w:sz w:val="28"/>
      <w:szCs w:val="20"/>
      <w:lang w:val="x-none" w:eastAsia="ar-SA"/>
    </w:rPr>
  </w:style>
  <w:style w:type="character" w:customStyle="1" w:styleId="Heading8Char">
    <w:name w:val="Heading 8 Char"/>
    <w:basedOn w:val="DefaultParagraphFont"/>
    <w:link w:val="Heading8"/>
    <w:uiPriority w:val="9"/>
    <w:rsid w:val="005F7405"/>
    <w:rPr>
      <w:rFonts w:ascii="Calibri" w:eastAsia="Times New Roman" w:hAnsi="Calibri" w:cs="Times New Roman"/>
      <w:i/>
      <w:iCs/>
      <w:color w:val="000000"/>
      <w:szCs w:val="24"/>
      <w:lang w:val="x-none" w:eastAsia="x-none"/>
    </w:rPr>
  </w:style>
  <w:style w:type="character" w:customStyle="1" w:styleId="Heading9Char">
    <w:name w:val="Heading 9 Char"/>
    <w:basedOn w:val="DefaultParagraphFont"/>
    <w:link w:val="Heading9"/>
    <w:uiPriority w:val="9"/>
    <w:rsid w:val="005F7405"/>
    <w:rPr>
      <w:rFonts w:ascii=".VnTime" w:eastAsia="Times New Roman" w:hAnsi=".VnTime" w:cs="Times New Roman"/>
      <w:b/>
      <w:i/>
      <w:sz w:val="28"/>
      <w:szCs w:val="20"/>
      <w:lang w:val="x-none" w:eastAsia="x-none"/>
    </w:rPr>
  </w:style>
  <w:style w:type="character" w:styleId="Hyperlink">
    <w:name w:val="Hyperlink"/>
    <w:uiPriority w:val="99"/>
    <w:semiHidden/>
    <w:unhideWhenUsed/>
    <w:rsid w:val="005F7405"/>
    <w:rPr>
      <w:color w:val="0000FF"/>
      <w:u w:val="single"/>
    </w:rPr>
  </w:style>
  <w:style w:type="character" w:styleId="FollowedHyperlink">
    <w:name w:val="FollowedHyperlink"/>
    <w:basedOn w:val="DefaultParagraphFont"/>
    <w:uiPriority w:val="99"/>
    <w:semiHidden/>
    <w:unhideWhenUsed/>
    <w:rsid w:val="005F7405"/>
    <w:rPr>
      <w:color w:val="800080"/>
      <w:u w:val="single"/>
    </w:rPr>
  </w:style>
  <w:style w:type="paragraph" w:customStyle="1" w:styleId="msonormal0">
    <w:name w:val="msonormal"/>
    <w:basedOn w:val="Normal"/>
    <w:rsid w:val="005F7405"/>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5F7405"/>
    <w:pPr>
      <w:spacing w:before="100" w:beforeAutospacing="1" w:after="100" w:afterAutospacing="1" w:line="240" w:lineRule="auto"/>
    </w:pPr>
    <w:rPr>
      <w:rFonts w:eastAsia="Times New Roman" w:cs="Times New Roman"/>
      <w:szCs w:val="24"/>
      <w:lang w:eastAsia="vi-VN"/>
    </w:rPr>
  </w:style>
  <w:style w:type="paragraph" w:styleId="CommentText">
    <w:name w:val="annotation text"/>
    <w:basedOn w:val="Normal"/>
    <w:link w:val="CommentTextChar"/>
    <w:uiPriority w:val="99"/>
    <w:semiHidden/>
    <w:unhideWhenUsed/>
    <w:rsid w:val="005F7405"/>
    <w:pPr>
      <w:suppressAutoHyphens/>
      <w:spacing w:after="0" w:line="240" w:lineRule="auto"/>
    </w:pPr>
    <w:rPr>
      <w:rFonts w:eastAsia="Times New Roman" w:cs="Times New Roman"/>
      <w:sz w:val="20"/>
      <w:szCs w:val="20"/>
      <w:lang w:val="x-none" w:eastAsia="ar-SA"/>
    </w:rPr>
  </w:style>
  <w:style w:type="character" w:customStyle="1" w:styleId="CommentTextChar">
    <w:name w:val="Comment Text Char"/>
    <w:basedOn w:val="DefaultParagraphFont"/>
    <w:link w:val="CommentText"/>
    <w:uiPriority w:val="99"/>
    <w:semiHidden/>
    <w:rsid w:val="005F7405"/>
    <w:rPr>
      <w:rFonts w:eastAsia="Times New Roman" w:cs="Times New Roman"/>
      <w:sz w:val="20"/>
      <w:szCs w:val="20"/>
      <w:lang w:val="x-none" w:eastAsia="ar-SA"/>
    </w:rPr>
  </w:style>
  <w:style w:type="paragraph" w:styleId="Footer">
    <w:name w:val="footer"/>
    <w:basedOn w:val="Normal"/>
    <w:link w:val="FooterChar"/>
    <w:uiPriority w:val="99"/>
    <w:semiHidden/>
    <w:unhideWhenUsed/>
    <w:rsid w:val="005F7405"/>
    <w:pPr>
      <w:tabs>
        <w:tab w:val="center" w:pos="4320"/>
        <w:tab w:val="right" w:pos="8640"/>
      </w:tabs>
      <w:suppressAutoHyphens/>
      <w:spacing w:after="0" w:line="240" w:lineRule="auto"/>
    </w:pPr>
    <w:rPr>
      <w:rFonts w:eastAsia="Times New Roman" w:cs="Times New Roman"/>
      <w:szCs w:val="24"/>
      <w:lang w:val="x-none" w:eastAsia="ar-SA"/>
    </w:rPr>
  </w:style>
  <w:style w:type="character" w:customStyle="1" w:styleId="FooterChar">
    <w:name w:val="Footer Char"/>
    <w:basedOn w:val="DefaultParagraphFont"/>
    <w:link w:val="Footer"/>
    <w:uiPriority w:val="99"/>
    <w:semiHidden/>
    <w:rsid w:val="005F7405"/>
    <w:rPr>
      <w:rFonts w:eastAsia="Times New Roman" w:cs="Times New Roman"/>
      <w:szCs w:val="24"/>
      <w:lang w:val="x-none" w:eastAsia="ar-SA"/>
    </w:rPr>
  </w:style>
  <w:style w:type="paragraph" w:styleId="Caption">
    <w:name w:val="caption"/>
    <w:basedOn w:val="Normal"/>
    <w:uiPriority w:val="35"/>
    <w:qFormat/>
    <w:rsid w:val="005F7405"/>
    <w:pPr>
      <w:suppressLineNumbers/>
      <w:suppressAutoHyphens/>
      <w:spacing w:before="120" w:after="120" w:line="240" w:lineRule="auto"/>
    </w:pPr>
    <w:rPr>
      <w:rFonts w:ascii="Arial" w:eastAsia="Times New Roman" w:hAnsi="Arial" w:cs="Tahoma"/>
      <w:i/>
      <w:iCs/>
      <w:szCs w:val="24"/>
      <w:lang w:eastAsia="ar-SA"/>
    </w:rPr>
  </w:style>
  <w:style w:type="paragraph" w:styleId="CommentSubject">
    <w:name w:val="annotation subject"/>
    <w:basedOn w:val="CommentText"/>
    <w:next w:val="CommentText"/>
    <w:link w:val="CommentSubjectChar"/>
    <w:uiPriority w:val="99"/>
    <w:semiHidden/>
    <w:unhideWhenUsed/>
    <w:rsid w:val="005F7405"/>
    <w:rPr>
      <w:b/>
      <w:bCs/>
    </w:rPr>
  </w:style>
  <w:style w:type="character" w:customStyle="1" w:styleId="CommentSubjectChar">
    <w:name w:val="Comment Subject Char"/>
    <w:basedOn w:val="CommentTextChar"/>
    <w:link w:val="CommentSubject"/>
    <w:uiPriority w:val="99"/>
    <w:semiHidden/>
    <w:rsid w:val="005F7405"/>
    <w:rPr>
      <w:rFonts w:eastAsia="Times New Roman" w:cs="Times New Roman"/>
      <w:b/>
      <w:bCs/>
      <w:sz w:val="20"/>
      <w:szCs w:val="20"/>
      <w:lang w:val="x-none" w:eastAsia="ar-SA"/>
    </w:rPr>
  </w:style>
  <w:style w:type="paragraph" w:customStyle="1" w:styleId="msormpane0">
    <w:name w:val="msormpane"/>
    <w:uiPriority w:val="99"/>
    <w:semiHidden/>
    <w:rsid w:val="005F7405"/>
    <w:pPr>
      <w:spacing w:after="0" w:line="240" w:lineRule="auto"/>
    </w:pPr>
    <w:rPr>
      <w:rFonts w:eastAsia="Times New Roman" w:cs="Times New Roman"/>
      <w:szCs w:val="24"/>
      <w:lang w:eastAsia="ar-SA"/>
    </w:rPr>
  </w:style>
  <w:style w:type="paragraph" w:styleId="Header">
    <w:name w:val="header"/>
    <w:basedOn w:val="Normal"/>
    <w:link w:val="HeaderChar"/>
    <w:uiPriority w:val="99"/>
    <w:semiHidden/>
    <w:unhideWhenUsed/>
    <w:rsid w:val="005F7405"/>
    <w:pPr>
      <w:tabs>
        <w:tab w:val="center" w:pos="4320"/>
        <w:tab w:val="right" w:pos="8640"/>
      </w:tabs>
      <w:suppressAutoHyphens/>
      <w:spacing w:after="0" w:line="240" w:lineRule="auto"/>
    </w:pPr>
    <w:rPr>
      <w:rFonts w:eastAsia="Times New Roman" w:cs="Times New Roman"/>
      <w:szCs w:val="24"/>
      <w:lang w:val="x-none" w:eastAsia="ar-SA"/>
    </w:rPr>
  </w:style>
  <w:style w:type="character" w:customStyle="1" w:styleId="HeaderChar">
    <w:name w:val="Header Char"/>
    <w:basedOn w:val="DefaultParagraphFont"/>
    <w:link w:val="Header"/>
    <w:uiPriority w:val="99"/>
    <w:semiHidden/>
    <w:rsid w:val="005F7405"/>
    <w:rPr>
      <w:rFonts w:eastAsia="Times New Roman" w:cs="Times New Roman"/>
      <w:szCs w:val="24"/>
      <w:lang w:val="x-none" w:eastAsia="ar-SA"/>
    </w:rPr>
  </w:style>
  <w:style w:type="paragraph" w:styleId="BodyText">
    <w:name w:val="Body Text"/>
    <w:basedOn w:val="Normal"/>
    <w:link w:val="BodyTextChar"/>
    <w:uiPriority w:val="99"/>
    <w:semiHidden/>
    <w:unhideWhenUsed/>
    <w:rsid w:val="005F7405"/>
    <w:pPr>
      <w:suppressAutoHyphens/>
      <w:spacing w:after="0" w:line="240" w:lineRule="auto"/>
    </w:pPr>
    <w:rPr>
      <w:rFonts w:eastAsia="Times New Roman" w:cs="Times New Roman"/>
      <w:sz w:val="28"/>
      <w:szCs w:val="20"/>
      <w:lang w:val="x-none" w:eastAsia="ar-SA"/>
    </w:rPr>
  </w:style>
  <w:style w:type="character" w:customStyle="1" w:styleId="BodyTextChar">
    <w:name w:val="Body Text Char"/>
    <w:basedOn w:val="DefaultParagraphFont"/>
    <w:link w:val="BodyText"/>
    <w:uiPriority w:val="99"/>
    <w:semiHidden/>
    <w:rsid w:val="005F7405"/>
    <w:rPr>
      <w:rFonts w:eastAsia="Times New Roman" w:cs="Times New Roman"/>
      <w:sz w:val="28"/>
      <w:szCs w:val="20"/>
      <w:lang w:val="x-none" w:eastAsia="ar-SA"/>
    </w:rPr>
  </w:style>
  <w:style w:type="paragraph" w:styleId="List">
    <w:name w:val="List"/>
    <w:basedOn w:val="BodyText"/>
    <w:uiPriority w:val="99"/>
    <w:semiHidden/>
    <w:unhideWhenUsed/>
    <w:rsid w:val="005F7405"/>
    <w:rPr>
      <w:rFonts w:ascii="Arial" w:hAnsi="Arial" w:cs="Tahoma"/>
    </w:rPr>
  </w:style>
  <w:style w:type="paragraph" w:styleId="BodyTextIndent">
    <w:name w:val="Body Text Indent"/>
    <w:basedOn w:val="Normal"/>
    <w:link w:val="BodyTextIndentChar"/>
    <w:uiPriority w:val="99"/>
    <w:semiHidden/>
    <w:unhideWhenUsed/>
    <w:rsid w:val="005F7405"/>
    <w:pPr>
      <w:suppressAutoHyphens/>
      <w:spacing w:after="120" w:line="240" w:lineRule="auto"/>
      <w:ind w:left="360"/>
    </w:pPr>
    <w:rPr>
      <w:rFonts w:ascii=".VnTime" w:eastAsia="Times New Roman" w:hAnsi=".VnTime" w:cs="Times New Roman"/>
      <w:sz w:val="26"/>
      <w:szCs w:val="20"/>
      <w:lang w:val="x-none" w:eastAsia="ar-SA"/>
    </w:rPr>
  </w:style>
  <w:style w:type="character" w:customStyle="1" w:styleId="BodyTextIndentChar">
    <w:name w:val="Body Text Indent Char"/>
    <w:basedOn w:val="DefaultParagraphFont"/>
    <w:link w:val="BodyTextIndent"/>
    <w:uiPriority w:val="99"/>
    <w:semiHidden/>
    <w:rsid w:val="005F7405"/>
    <w:rPr>
      <w:rFonts w:ascii=".VnTime" w:eastAsia="Times New Roman" w:hAnsi=".VnTime" w:cs="Times New Roman"/>
      <w:sz w:val="26"/>
      <w:szCs w:val="20"/>
      <w:lang w:val="x-none" w:eastAsia="ar-SA"/>
    </w:rPr>
  </w:style>
  <w:style w:type="paragraph" w:styleId="BodyText2">
    <w:name w:val="Body Text 2"/>
    <w:basedOn w:val="Normal"/>
    <w:link w:val="BodyText2Char"/>
    <w:uiPriority w:val="99"/>
    <w:semiHidden/>
    <w:unhideWhenUsed/>
    <w:rsid w:val="005F7405"/>
    <w:pPr>
      <w:suppressAutoHyphens/>
      <w:spacing w:after="0" w:line="312" w:lineRule="auto"/>
    </w:pPr>
    <w:rPr>
      <w:rFonts w:eastAsia="Times New Roman" w:cs="Times New Roman"/>
      <w:b/>
      <w:sz w:val="28"/>
      <w:szCs w:val="20"/>
      <w:lang w:val="x-none" w:eastAsia="ar-SA"/>
    </w:rPr>
  </w:style>
  <w:style w:type="character" w:customStyle="1" w:styleId="BodyText2Char">
    <w:name w:val="Body Text 2 Char"/>
    <w:basedOn w:val="DefaultParagraphFont"/>
    <w:link w:val="BodyText2"/>
    <w:uiPriority w:val="99"/>
    <w:semiHidden/>
    <w:rsid w:val="005F7405"/>
    <w:rPr>
      <w:rFonts w:eastAsia="Times New Roman" w:cs="Times New Roman"/>
      <w:b/>
      <w:sz w:val="28"/>
      <w:szCs w:val="20"/>
      <w:lang w:val="x-none" w:eastAsia="ar-SA"/>
    </w:rPr>
  </w:style>
  <w:style w:type="paragraph" w:styleId="BodyText3">
    <w:name w:val="Body Text 3"/>
    <w:basedOn w:val="Normal"/>
    <w:link w:val="BodyText3Char"/>
    <w:uiPriority w:val="99"/>
    <w:semiHidden/>
    <w:unhideWhenUsed/>
    <w:rsid w:val="005F7405"/>
    <w:pPr>
      <w:spacing w:after="0" w:line="312" w:lineRule="auto"/>
      <w:jc w:val="both"/>
    </w:pPr>
    <w:rPr>
      <w:rFonts w:ascii=".VnTime" w:eastAsia="Times New Roman" w:hAnsi=".VnTime" w:cs="Times New Roman"/>
      <w:i/>
      <w:sz w:val="28"/>
      <w:szCs w:val="20"/>
      <w:lang w:val="x-none" w:eastAsia="x-none"/>
    </w:rPr>
  </w:style>
  <w:style w:type="character" w:customStyle="1" w:styleId="BodyText3Char">
    <w:name w:val="Body Text 3 Char"/>
    <w:basedOn w:val="DefaultParagraphFont"/>
    <w:link w:val="BodyText3"/>
    <w:uiPriority w:val="99"/>
    <w:semiHidden/>
    <w:rsid w:val="005F7405"/>
    <w:rPr>
      <w:rFonts w:ascii=".VnTime" w:eastAsia="Times New Roman" w:hAnsi=".VnTime" w:cs="Times New Roman"/>
      <w:i/>
      <w:sz w:val="28"/>
      <w:szCs w:val="20"/>
      <w:lang w:val="x-none" w:eastAsia="x-none"/>
    </w:rPr>
  </w:style>
  <w:style w:type="paragraph" w:styleId="BodyTextIndent2">
    <w:name w:val="Body Text Indent 2"/>
    <w:basedOn w:val="Normal"/>
    <w:link w:val="BodyTextIndent2Char"/>
    <w:uiPriority w:val="99"/>
    <w:semiHidden/>
    <w:unhideWhenUsed/>
    <w:rsid w:val="005F7405"/>
    <w:pPr>
      <w:spacing w:before="60" w:after="0" w:line="360" w:lineRule="auto"/>
      <w:ind w:firstLine="284"/>
    </w:pPr>
    <w:rPr>
      <w:rFonts w:ascii=".VnTime" w:eastAsia="Times New Roman" w:hAnsi=".VnTime" w:cs="Times New Roman"/>
      <w:sz w:val="28"/>
      <w:szCs w:val="20"/>
      <w:lang w:val="en-AU" w:eastAsia="x-none"/>
    </w:rPr>
  </w:style>
  <w:style w:type="character" w:customStyle="1" w:styleId="BodyTextIndent2Char">
    <w:name w:val="Body Text Indent 2 Char"/>
    <w:basedOn w:val="DefaultParagraphFont"/>
    <w:link w:val="BodyTextIndent2"/>
    <w:uiPriority w:val="99"/>
    <w:semiHidden/>
    <w:rsid w:val="005F7405"/>
    <w:rPr>
      <w:rFonts w:ascii=".VnTime" w:eastAsia="Times New Roman" w:hAnsi=".VnTime" w:cs="Times New Roman"/>
      <w:sz w:val="28"/>
      <w:szCs w:val="20"/>
      <w:lang w:val="en-AU" w:eastAsia="x-none"/>
    </w:rPr>
  </w:style>
  <w:style w:type="paragraph" w:styleId="BalloonText">
    <w:name w:val="Balloon Text"/>
    <w:basedOn w:val="Normal"/>
    <w:link w:val="BalloonTextChar"/>
    <w:uiPriority w:val="99"/>
    <w:semiHidden/>
    <w:unhideWhenUsed/>
    <w:rsid w:val="005F7405"/>
    <w:pPr>
      <w:suppressAutoHyphens/>
      <w:spacing w:after="0" w:line="240" w:lineRule="auto"/>
    </w:pPr>
    <w:rPr>
      <w:rFonts w:ascii="Tahoma" w:eastAsia="Times New Roman" w:hAnsi="Tahoma" w:cs="Times New Roman"/>
      <w:sz w:val="16"/>
      <w:szCs w:val="16"/>
      <w:lang w:val="x-none" w:eastAsia="ar-SA"/>
    </w:rPr>
  </w:style>
  <w:style w:type="character" w:customStyle="1" w:styleId="BalloonTextChar">
    <w:name w:val="Balloon Text Char"/>
    <w:basedOn w:val="DefaultParagraphFont"/>
    <w:link w:val="BalloonText"/>
    <w:uiPriority w:val="99"/>
    <w:semiHidden/>
    <w:rsid w:val="005F7405"/>
    <w:rPr>
      <w:rFonts w:ascii="Tahoma" w:eastAsia="Times New Roman" w:hAnsi="Tahoma" w:cs="Times New Roman"/>
      <w:sz w:val="16"/>
      <w:szCs w:val="16"/>
      <w:lang w:val="x-none" w:eastAsia="ar-SA"/>
    </w:rPr>
  </w:style>
  <w:style w:type="paragraph" w:customStyle="1" w:styleId="Heading">
    <w:name w:val="Heading"/>
    <w:basedOn w:val="Normal"/>
    <w:next w:val="BodyText"/>
    <w:rsid w:val="005F7405"/>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5F7405"/>
    <w:pPr>
      <w:suppressLineNumbers/>
      <w:suppressAutoHyphens/>
      <w:spacing w:after="0" w:line="240" w:lineRule="auto"/>
    </w:pPr>
    <w:rPr>
      <w:rFonts w:ascii="Arial" w:eastAsia="Times New Roman" w:hAnsi="Arial" w:cs="Tahoma"/>
      <w:szCs w:val="24"/>
      <w:lang w:eastAsia="ar-SA"/>
    </w:rPr>
  </w:style>
  <w:style w:type="paragraph" w:customStyle="1" w:styleId="TableContents">
    <w:name w:val="Table Contents"/>
    <w:basedOn w:val="Normal"/>
    <w:rsid w:val="005F7405"/>
    <w:pPr>
      <w:suppressLineNumbers/>
      <w:suppressAutoHyphens/>
      <w:spacing w:after="0" w:line="240" w:lineRule="auto"/>
    </w:pPr>
    <w:rPr>
      <w:rFonts w:eastAsia="Times New Roman" w:cs="Times New Roman"/>
      <w:szCs w:val="24"/>
      <w:lang w:eastAsia="ar-SA"/>
    </w:rPr>
  </w:style>
  <w:style w:type="paragraph" w:customStyle="1" w:styleId="TableHeading">
    <w:name w:val="Table Heading"/>
    <w:basedOn w:val="TableContents"/>
    <w:rsid w:val="005F7405"/>
    <w:pPr>
      <w:jc w:val="center"/>
    </w:pPr>
    <w:rPr>
      <w:b/>
      <w:bCs/>
    </w:rPr>
  </w:style>
  <w:style w:type="paragraph" w:customStyle="1" w:styleId="Framecontents">
    <w:name w:val="Frame contents"/>
    <w:basedOn w:val="BodyText"/>
    <w:rsid w:val="005F7405"/>
  </w:style>
  <w:style w:type="paragraph" w:customStyle="1" w:styleId="CharCharCharCharCharCharChar">
    <w:name w:val="Char Char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DefaultParagraphFontParaCharCharCharCharChar">
    <w:name w:val="Default Paragraph Font Para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Char">
    <w:name w:val="Char"/>
    <w:basedOn w:val="Normal"/>
    <w:autoRedefine/>
    <w:rsid w:val="005F7405"/>
    <w:pPr>
      <w:spacing w:line="240" w:lineRule="exact"/>
    </w:pPr>
    <w:rPr>
      <w:rFonts w:ascii="Verdana" w:eastAsia="Times New Roman" w:hAnsi="Verdana" w:cs="Verdana"/>
      <w:sz w:val="20"/>
      <w:szCs w:val="20"/>
      <w:lang w:eastAsia="vi-VN"/>
    </w:rPr>
  </w:style>
  <w:style w:type="paragraph" w:styleId="Revision">
    <w:name w:val="Revision"/>
    <w:uiPriority w:val="99"/>
    <w:semiHidden/>
    <w:rsid w:val="005F7405"/>
    <w:pPr>
      <w:spacing w:after="0" w:line="240" w:lineRule="auto"/>
    </w:pPr>
    <w:rPr>
      <w:rFonts w:eastAsia="Times New Roman" w:cs="Times New Roman"/>
      <w:szCs w:val="24"/>
      <w:lang w:eastAsia="ar-SA"/>
    </w:rPr>
  </w:style>
  <w:style w:type="character" w:styleId="CommentReference">
    <w:name w:val="annotation reference"/>
    <w:uiPriority w:val="99"/>
    <w:semiHidden/>
    <w:unhideWhenUsed/>
    <w:rsid w:val="005F7405"/>
    <w:rPr>
      <w:sz w:val="16"/>
      <w:szCs w:val="16"/>
    </w:rPr>
  </w:style>
  <w:style w:type="character" w:customStyle="1" w:styleId="WW8Num7z0">
    <w:name w:val="WW8Num7z0"/>
    <w:rsid w:val="005F7405"/>
    <w:rPr>
      <w:b w:val="0"/>
      <w:bCs w:val="0"/>
    </w:rPr>
  </w:style>
  <w:style w:type="character" w:customStyle="1" w:styleId="WW8Num12z0">
    <w:name w:val="WW8Num12z0"/>
    <w:rsid w:val="005F7405"/>
    <w:rPr>
      <w:rFonts w:ascii="Times New Roman" w:eastAsia="Times New Roman" w:hAnsi="Times New Roman" w:cs="Times New Roman" w:hint="default"/>
    </w:rPr>
  </w:style>
  <w:style w:type="character" w:customStyle="1" w:styleId="WW8Num12z1">
    <w:name w:val="WW8Num12z1"/>
    <w:rsid w:val="005F7405"/>
    <w:rPr>
      <w:rFonts w:ascii="Courier New" w:hAnsi="Courier New" w:cs="Courier New" w:hint="default"/>
    </w:rPr>
  </w:style>
  <w:style w:type="character" w:customStyle="1" w:styleId="WW8Num12z2">
    <w:name w:val="WW8Num12z2"/>
    <w:rsid w:val="005F7405"/>
    <w:rPr>
      <w:rFonts w:ascii="Wingdings" w:hAnsi="Wingdings" w:hint="default"/>
    </w:rPr>
  </w:style>
  <w:style w:type="character" w:customStyle="1" w:styleId="WW8Num12z3">
    <w:name w:val="WW8Num12z3"/>
    <w:rsid w:val="005F7405"/>
    <w:rPr>
      <w:rFonts w:ascii="Symbol" w:hAnsi="Symbol" w:hint="default"/>
    </w:rPr>
  </w:style>
  <w:style w:type="character" w:customStyle="1" w:styleId="WW8Num14z0">
    <w:name w:val="WW8Num14z0"/>
    <w:rsid w:val="005F7405"/>
    <w:rPr>
      <w:rFonts w:ascii="Times New Roman" w:eastAsia="Times New Roman" w:hAnsi="Times New Roman" w:cs="Times New Roman" w:hint="default"/>
    </w:rPr>
  </w:style>
  <w:style w:type="character" w:customStyle="1" w:styleId="WW8Num18z0">
    <w:name w:val="WW8Num18z0"/>
    <w:rsid w:val="005F7405"/>
    <w:rPr>
      <w:rFonts w:ascii="Times New Roman" w:eastAsia="Times New Roman" w:hAnsi="Times New Roman" w:cs="Times New Roman" w:hint="default"/>
    </w:rPr>
  </w:style>
  <w:style w:type="character" w:customStyle="1" w:styleId="WW8Num18z1">
    <w:name w:val="WW8Num18z1"/>
    <w:rsid w:val="005F7405"/>
    <w:rPr>
      <w:rFonts w:ascii="Courier New" w:hAnsi="Courier New" w:cs="Courier New" w:hint="default"/>
    </w:rPr>
  </w:style>
  <w:style w:type="character" w:customStyle="1" w:styleId="WW8Num18z2">
    <w:name w:val="WW8Num18z2"/>
    <w:rsid w:val="005F7405"/>
    <w:rPr>
      <w:rFonts w:ascii="Wingdings" w:hAnsi="Wingdings" w:hint="default"/>
    </w:rPr>
  </w:style>
  <w:style w:type="character" w:customStyle="1" w:styleId="WW8Num18z3">
    <w:name w:val="WW8Num18z3"/>
    <w:rsid w:val="005F7405"/>
    <w:rPr>
      <w:rFonts w:ascii="Symbol" w:hAnsi="Symbol" w:hint="default"/>
    </w:rPr>
  </w:style>
  <w:style w:type="character" w:customStyle="1" w:styleId="CharChar15">
    <w:name w:val="Char Char15"/>
    <w:rsid w:val="005F7405"/>
    <w:rPr>
      <w:rFonts w:ascii=".VnTimeH" w:eastAsia="Times New Roman" w:hAnsi=".VnTimeH" w:cs="Times New Roman" w:hint="default"/>
      <w:b/>
      <w:bCs w:val="0"/>
      <w:sz w:val="28"/>
      <w:szCs w:val="20"/>
    </w:rPr>
  </w:style>
  <w:style w:type="character" w:customStyle="1" w:styleId="CharChar14">
    <w:name w:val="Char Char14"/>
    <w:rsid w:val="005F7405"/>
    <w:rPr>
      <w:rFonts w:ascii=".VnTimeH" w:eastAsia="Times New Roman" w:hAnsi=".VnTimeH" w:cs="Times New Roman" w:hint="default"/>
      <w:b/>
      <w:bCs w:val="0"/>
      <w:sz w:val="24"/>
      <w:szCs w:val="20"/>
    </w:rPr>
  </w:style>
  <w:style w:type="character" w:customStyle="1" w:styleId="CharChar13">
    <w:name w:val="Char Char13"/>
    <w:rsid w:val="005F7405"/>
    <w:rPr>
      <w:rFonts w:ascii=".VnArial NarrowH" w:eastAsia="Times New Roman" w:hAnsi=".VnArial NarrowH" w:cs="Times New Roman" w:hint="default"/>
      <w:b/>
      <w:bCs w:val="0"/>
      <w:szCs w:val="20"/>
    </w:rPr>
  </w:style>
  <w:style w:type="character" w:customStyle="1" w:styleId="CharChar12">
    <w:name w:val="Char Char12"/>
    <w:rsid w:val="005F7405"/>
    <w:rPr>
      <w:rFonts w:ascii=".VnTimeH" w:eastAsia="Times New Roman" w:hAnsi=".VnTimeH" w:hint="default"/>
      <w:b/>
      <w:bCs w:val="0"/>
      <w:sz w:val="28"/>
      <w:lang w:val="x-none" w:eastAsia="ar-SA"/>
    </w:rPr>
  </w:style>
  <w:style w:type="character" w:customStyle="1" w:styleId="CharChar11">
    <w:name w:val="Char Char11"/>
    <w:rsid w:val="005F7405"/>
    <w:rPr>
      <w:rFonts w:ascii="Calibri" w:eastAsia="Times New Roman" w:hAnsi="Calibri" w:cs="Times New Roman" w:hint="default"/>
      <w:i/>
      <w:iCs/>
      <w:color w:val="000000"/>
      <w:sz w:val="24"/>
      <w:szCs w:val="24"/>
    </w:rPr>
  </w:style>
  <w:style w:type="character" w:customStyle="1" w:styleId="CharChar10">
    <w:name w:val="Char Char10"/>
    <w:rsid w:val="005F7405"/>
    <w:rPr>
      <w:rFonts w:ascii=".VnTime" w:eastAsia="Times New Roman" w:hAnsi=".VnTime" w:cs="Times New Roman" w:hint="default"/>
      <w:b/>
      <w:bCs w:val="0"/>
      <w:i/>
      <w:iCs w:val="0"/>
      <w:sz w:val="28"/>
      <w:szCs w:val="20"/>
    </w:rPr>
  </w:style>
  <w:style w:type="character" w:customStyle="1" w:styleId="CharChar9">
    <w:name w:val="Char Char9"/>
    <w:rsid w:val="005F7405"/>
    <w:rPr>
      <w:rFonts w:ascii="Times New Roman" w:eastAsia="Times New Roman" w:hAnsi="Times New Roman" w:cs="Times New Roman" w:hint="default"/>
      <w:sz w:val="28"/>
      <w:szCs w:val="20"/>
      <w:lang w:eastAsia="ar-SA"/>
    </w:rPr>
  </w:style>
  <w:style w:type="character" w:customStyle="1" w:styleId="CharChar8">
    <w:name w:val="Char Char8"/>
    <w:rsid w:val="005F7405"/>
    <w:rPr>
      <w:rFonts w:ascii="Times New Roman" w:eastAsia="Times New Roman" w:hAnsi="Times New Roman" w:cs="Times New Roman" w:hint="default"/>
      <w:b/>
      <w:bCs w:val="0"/>
      <w:sz w:val="28"/>
      <w:szCs w:val="20"/>
      <w:lang w:eastAsia="ar-SA"/>
    </w:rPr>
  </w:style>
  <w:style w:type="character" w:customStyle="1" w:styleId="CharChar7">
    <w:name w:val="Char Char7"/>
    <w:rsid w:val="005F7405"/>
    <w:rPr>
      <w:rFonts w:ascii=".VnTime" w:eastAsia="Times New Roman" w:hAnsi=".VnTime" w:cs="Times New Roman" w:hint="default"/>
      <w:sz w:val="26"/>
      <w:szCs w:val="20"/>
      <w:lang w:eastAsia="ar-SA"/>
    </w:rPr>
  </w:style>
  <w:style w:type="character" w:customStyle="1" w:styleId="CharChar6">
    <w:name w:val="Char Char6"/>
    <w:rsid w:val="005F7405"/>
    <w:rPr>
      <w:rFonts w:ascii="Times New Roman" w:eastAsia="Times New Roman" w:hAnsi="Times New Roman" w:cs="Times New Roman" w:hint="default"/>
      <w:sz w:val="24"/>
      <w:szCs w:val="24"/>
      <w:lang w:eastAsia="ar-SA"/>
    </w:rPr>
  </w:style>
  <w:style w:type="character" w:customStyle="1" w:styleId="CharChar5">
    <w:name w:val="Char Char5"/>
    <w:rsid w:val="005F7405"/>
    <w:rPr>
      <w:rFonts w:ascii="Tahoma" w:eastAsia="Times New Roman" w:hAnsi="Tahoma" w:cs="Tahoma" w:hint="default"/>
      <w:sz w:val="16"/>
      <w:szCs w:val="16"/>
      <w:lang w:eastAsia="ar-SA"/>
    </w:rPr>
  </w:style>
  <w:style w:type="character" w:customStyle="1" w:styleId="CharChar4">
    <w:name w:val="Char Char4"/>
    <w:rsid w:val="005F7405"/>
    <w:rPr>
      <w:rFonts w:ascii="Times New Roman" w:eastAsia="Times New Roman" w:hAnsi="Times New Roman" w:cs="Times New Roman" w:hint="default"/>
      <w:sz w:val="24"/>
      <w:szCs w:val="24"/>
      <w:lang w:eastAsia="ar-SA"/>
    </w:rPr>
  </w:style>
  <w:style w:type="character" w:customStyle="1" w:styleId="CharChar3">
    <w:name w:val="Char Char3"/>
    <w:rsid w:val="005F7405"/>
    <w:rPr>
      <w:rFonts w:ascii=".VnTime" w:eastAsia="Times New Roman" w:hAnsi=".VnTime" w:cs="Times New Roman" w:hint="default"/>
      <w:i/>
      <w:iCs w:val="0"/>
      <w:sz w:val="28"/>
      <w:szCs w:val="20"/>
    </w:rPr>
  </w:style>
  <w:style w:type="character" w:customStyle="1" w:styleId="CharChar2">
    <w:name w:val="Char Char2"/>
    <w:rsid w:val="005F7405"/>
    <w:rPr>
      <w:rFonts w:ascii=".VnTime" w:eastAsia="Times New Roman" w:hAnsi=".VnTime" w:cs="Times New Roman" w:hint="default"/>
      <w:sz w:val="28"/>
      <w:szCs w:val="20"/>
      <w:lang w:val="en-AU" w:eastAsia="x-none"/>
    </w:rPr>
  </w:style>
  <w:style w:type="character" w:customStyle="1" w:styleId="CharChar1">
    <w:name w:val="Char Char1"/>
    <w:semiHidden/>
    <w:rsid w:val="005F7405"/>
    <w:rPr>
      <w:rFonts w:ascii="Times New Roman" w:eastAsia="Times New Roman" w:hAnsi="Times New Roman" w:cs="Times New Roman" w:hint="default"/>
      <w:lang w:eastAsia="ar-SA"/>
    </w:rPr>
  </w:style>
  <w:style w:type="character" w:customStyle="1" w:styleId="CharChar">
    <w:name w:val="Char Char"/>
    <w:semiHidden/>
    <w:rsid w:val="005F7405"/>
    <w:rPr>
      <w:rFonts w:ascii="Times New Roman" w:eastAsia="Times New Roman" w:hAnsi="Times New Roman" w:cs="Times New Roman" w:hint="default"/>
      <w:b/>
      <w:bCs/>
      <w:lang w:eastAsia="ar-SA"/>
    </w:rPr>
  </w:style>
  <w:style w:type="numbering" w:customStyle="1" w:styleId="Style1">
    <w:name w:val="Style1"/>
    <w:rsid w:val="005F7405"/>
    <w:pPr>
      <w:numPr>
        <w:numId w:val="18"/>
      </w:numPr>
    </w:pPr>
  </w:style>
  <w:style w:type="paragraph" w:styleId="List2">
    <w:name w:val="List 2"/>
    <w:basedOn w:val="Normal"/>
    <w:uiPriority w:val="99"/>
    <w:semiHidden/>
    <w:unhideWhenUsed/>
    <w:rsid w:val="00D901DB"/>
    <w:pPr>
      <w:spacing w:after="0" w:line="240" w:lineRule="auto"/>
      <w:ind w:left="720" w:hanging="360"/>
    </w:pPr>
    <w:rPr>
      <w:rFonts w:ascii=".VnTime" w:eastAsia="Times New Roman" w:hAnsi=".VnTime" w:cs="Times New Roman"/>
      <w:sz w:val="26"/>
      <w:szCs w:val="24"/>
      <w:lang w:eastAsia="vi-VN"/>
    </w:rPr>
  </w:style>
  <w:style w:type="paragraph" w:styleId="ListParagraph">
    <w:name w:val="List Paragraph"/>
    <w:basedOn w:val="Normal"/>
    <w:uiPriority w:val="34"/>
    <w:qFormat/>
    <w:rsid w:val="00D901DB"/>
    <w:pPr>
      <w:spacing w:after="200" w:line="276" w:lineRule="auto"/>
      <w:ind w:left="720"/>
      <w:contextualSpacing/>
    </w:pPr>
    <w:rPr>
      <w:rFonts w:ascii="Calibri" w:eastAsia="Times New Roman" w:hAnsi="Calibri" w:cs="Times New Roman"/>
      <w:sz w:val="22"/>
      <w:lang w:eastAsia="vi-VN"/>
    </w:rPr>
  </w:style>
  <w:style w:type="character" w:customStyle="1" w:styleId="Heading4Char1">
    <w:name w:val="Heading 4 Char1"/>
    <w:basedOn w:val="DefaultParagraphFont"/>
    <w:uiPriority w:val="9"/>
    <w:locked/>
    <w:rsid w:val="00D901DB"/>
    <w:rPr>
      <w:rFonts w:ascii=".VnArial NarrowH" w:eastAsia="Times New Roman" w:hAnsi=".VnArial NarrowH" w:cs="Times New Roman"/>
      <w:b/>
      <w:sz w:val="22"/>
      <w:szCs w:val="20"/>
      <w:lang w:eastAsia="vi-VN"/>
    </w:rPr>
  </w:style>
  <w:style w:type="character" w:customStyle="1" w:styleId="Heading9Char1">
    <w:name w:val="Heading 9 Char1"/>
    <w:basedOn w:val="DefaultParagraphFont"/>
    <w:uiPriority w:val="9"/>
    <w:locked/>
    <w:rsid w:val="00D901DB"/>
    <w:rPr>
      <w:rFonts w:ascii=".VnTime" w:eastAsia="Calibri" w:hAnsi=".VnTime" w:cs="Times New Roman"/>
      <w:b/>
      <w:i/>
      <w:sz w:val="28"/>
      <w:szCs w:val="20"/>
      <w:lang w:eastAsia="vi-VN"/>
    </w:rPr>
  </w:style>
  <w:style w:type="character" w:customStyle="1" w:styleId="CommentTextChar1">
    <w:name w:val="Comment Text Char1"/>
    <w:basedOn w:val="DefaultParagraphFont"/>
    <w:uiPriority w:val="99"/>
    <w:semiHidden/>
    <w:locked/>
    <w:rsid w:val="00D901DB"/>
    <w:rPr>
      <w:rFonts w:eastAsia="Calibri" w:cs="Times New Roman"/>
      <w:sz w:val="20"/>
      <w:szCs w:val="20"/>
      <w:lang w:eastAsia="vi-VN"/>
    </w:rPr>
  </w:style>
  <w:style w:type="character" w:customStyle="1" w:styleId="BodyTextChar1">
    <w:name w:val="Body Text Char1"/>
    <w:basedOn w:val="DefaultParagraphFont"/>
    <w:uiPriority w:val="99"/>
    <w:semiHidden/>
    <w:locked/>
    <w:rsid w:val="00D901DB"/>
    <w:rPr>
      <w:rFonts w:ascii=".VnTime" w:eastAsia="Calibri" w:hAnsi=".VnTime" w:cs="Times New Roman"/>
      <w:sz w:val="28"/>
      <w:szCs w:val="20"/>
      <w:lang w:eastAsia="vi-VN"/>
    </w:rPr>
  </w:style>
  <w:style w:type="character" w:customStyle="1" w:styleId="BodyTextIndentChar1">
    <w:name w:val="Body Text Indent Char1"/>
    <w:basedOn w:val="DefaultParagraphFont"/>
    <w:uiPriority w:val="99"/>
    <w:semiHidden/>
    <w:locked/>
    <w:rsid w:val="00D901DB"/>
    <w:rPr>
      <w:rFonts w:ascii=".VnTime" w:eastAsia="Calibri" w:hAnsi=".VnTime" w:cs="Times New Roman"/>
      <w:sz w:val="28"/>
      <w:szCs w:val="28"/>
      <w:lang w:eastAsia="vi-VN"/>
    </w:rPr>
  </w:style>
  <w:style w:type="character" w:customStyle="1" w:styleId="CommentSubjectChar1">
    <w:name w:val="Comment Subject Char1"/>
    <w:basedOn w:val="CommentTextChar1"/>
    <w:uiPriority w:val="99"/>
    <w:semiHidden/>
    <w:locked/>
    <w:rsid w:val="00D901DB"/>
    <w:rPr>
      <w:rFonts w:ascii="Calibri" w:eastAsia="Times New Roman" w:hAnsi="Calibri" w:cs="Times New Roman"/>
      <w:b/>
      <w:bCs/>
      <w:sz w:val="20"/>
      <w:szCs w:val="20"/>
      <w:lang w:eastAsia="vi-VN"/>
    </w:rPr>
  </w:style>
  <w:style w:type="character" w:customStyle="1" w:styleId="BalloonTextChar1">
    <w:name w:val="Balloon Text Char1"/>
    <w:basedOn w:val="DefaultParagraphFont"/>
    <w:uiPriority w:val="99"/>
    <w:semiHidden/>
    <w:locked/>
    <w:rsid w:val="00D901DB"/>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D728AE"/>
    <w:rPr>
      <w:rFonts w:ascii=".VnTime" w:eastAsia="Times New Roman" w:hAnsi=".VnTime" w:cs="Times New Roman"/>
      <w:i/>
      <w:sz w:val="28"/>
      <w:szCs w:val="24"/>
      <w:lang w:eastAsia="vi-VN"/>
    </w:rPr>
  </w:style>
  <w:style w:type="character" w:customStyle="1" w:styleId="Heading5Char">
    <w:name w:val="Heading 5 Char"/>
    <w:basedOn w:val="DefaultParagraphFont"/>
    <w:link w:val="Heading5"/>
    <w:uiPriority w:val="9"/>
    <w:rsid w:val="00D728AE"/>
    <w:rPr>
      <w:rFonts w:ascii=".VnTimeH" w:eastAsia="Times New Roman" w:hAnsi=".VnTimeH" w:cs="Times New Roman"/>
      <w:b/>
      <w:szCs w:val="24"/>
      <w:lang w:eastAsia="vi-VN"/>
    </w:rPr>
  </w:style>
  <w:style w:type="paragraph" w:styleId="FootnoteText">
    <w:name w:val="footnote text"/>
    <w:basedOn w:val="Normal"/>
    <w:link w:val="FootnoteTextChar1"/>
    <w:uiPriority w:val="99"/>
    <w:semiHidden/>
    <w:unhideWhenUsed/>
    <w:rsid w:val="00D728AE"/>
    <w:pPr>
      <w:spacing w:after="0" w:line="240" w:lineRule="auto"/>
    </w:pPr>
    <w:rPr>
      <w:rFonts w:ascii=".VnTime" w:eastAsia="Times New Roman" w:hAnsi=".VnTime" w:cs="Times New Roman"/>
      <w:color w:val="000000"/>
      <w:sz w:val="20"/>
      <w:szCs w:val="20"/>
      <w:lang w:val="x-none" w:eastAsia="x-none"/>
    </w:rPr>
  </w:style>
  <w:style w:type="character" w:customStyle="1" w:styleId="FootnoteTextChar">
    <w:name w:val="Footnote Text Char"/>
    <w:basedOn w:val="DefaultParagraphFont"/>
    <w:uiPriority w:val="99"/>
    <w:semiHidden/>
    <w:rsid w:val="00D728AE"/>
    <w:rPr>
      <w:sz w:val="20"/>
      <w:szCs w:val="20"/>
    </w:rPr>
  </w:style>
  <w:style w:type="paragraph" w:styleId="BodyTextIndent3">
    <w:name w:val="Body Text Indent 3"/>
    <w:basedOn w:val="Normal"/>
    <w:link w:val="BodyTextIndent3Char1"/>
    <w:uiPriority w:val="99"/>
    <w:semiHidden/>
    <w:unhideWhenUsed/>
    <w:rsid w:val="00D728AE"/>
    <w:pPr>
      <w:spacing w:before="240" w:after="0" w:line="360" w:lineRule="atLeast"/>
      <w:ind w:firstLine="567"/>
      <w:jc w:val="both"/>
    </w:pPr>
    <w:rPr>
      <w:rFonts w:ascii=".VnTime" w:eastAsia="Times New Roman" w:hAnsi=".VnTime" w:cs="Times New Roman"/>
      <w:b/>
      <w:color w:val="000000"/>
      <w:sz w:val="28"/>
      <w:szCs w:val="20"/>
      <w:lang w:val="en-GB" w:eastAsia="x-none"/>
    </w:rPr>
  </w:style>
  <w:style w:type="character" w:customStyle="1" w:styleId="BodyTextIndent3Char">
    <w:name w:val="Body Text Indent 3 Char"/>
    <w:basedOn w:val="DefaultParagraphFont"/>
    <w:uiPriority w:val="99"/>
    <w:semiHidden/>
    <w:rsid w:val="00D728AE"/>
    <w:rPr>
      <w:sz w:val="16"/>
      <w:szCs w:val="16"/>
    </w:rPr>
  </w:style>
  <w:style w:type="paragraph" w:styleId="PlainText">
    <w:name w:val="Plain Text"/>
    <w:basedOn w:val="Normal"/>
    <w:link w:val="PlainTextChar1"/>
    <w:uiPriority w:val="99"/>
    <w:semiHidden/>
    <w:unhideWhenUsed/>
    <w:rsid w:val="00D728AE"/>
    <w:pPr>
      <w:spacing w:after="0" w:line="240" w:lineRule="auto"/>
    </w:pPr>
    <w:rPr>
      <w:rFonts w:ascii="Courier New" w:eastAsia="Times New Roman" w:hAnsi="Courier New" w:cs="Times New Roman"/>
      <w:color w:val="000000"/>
      <w:sz w:val="20"/>
      <w:szCs w:val="20"/>
      <w:lang w:val="x-none" w:eastAsia="x-none"/>
    </w:rPr>
  </w:style>
  <w:style w:type="character" w:customStyle="1" w:styleId="PlainTextChar">
    <w:name w:val="Plain Text Char"/>
    <w:basedOn w:val="DefaultParagraphFont"/>
    <w:uiPriority w:val="99"/>
    <w:semiHidden/>
    <w:rsid w:val="00D728AE"/>
    <w:rPr>
      <w:rFonts w:ascii="Consolas" w:hAnsi="Consolas"/>
      <w:sz w:val="21"/>
      <w:szCs w:val="21"/>
    </w:rPr>
  </w:style>
  <w:style w:type="paragraph" w:customStyle="1" w:styleId="CharCharCharChar">
    <w:name w:val="Char Char Char Char"/>
    <w:basedOn w:val="Normal"/>
    <w:semiHidden/>
    <w:rsid w:val="00D728AE"/>
    <w:pPr>
      <w:spacing w:line="240" w:lineRule="exact"/>
    </w:pPr>
    <w:rPr>
      <w:rFonts w:ascii="Arial" w:eastAsia="Times New Roman" w:hAnsi="Arial" w:cs="Times New Roman"/>
      <w:sz w:val="22"/>
      <w:lang w:eastAsia="vi-VN"/>
    </w:rPr>
  </w:style>
  <w:style w:type="character" w:customStyle="1" w:styleId="Heading8Char1">
    <w:name w:val="Heading 8 Char1"/>
    <w:uiPriority w:val="9"/>
    <w:locked/>
    <w:rsid w:val="00D728AE"/>
    <w:rPr>
      <w:rFonts w:ascii=".VnTime" w:eastAsia="Times New Roman" w:hAnsi=".VnTime" w:cs="Times New Roman"/>
      <w:b/>
      <w:bCs/>
      <w:sz w:val="28"/>
      <w:szCs w:val="24"/>
      <w:lang w:val="x-none" w:eastAsia="x-none"/>
    </w:rPr>
  </w:style>
  <w:style w:type="character" w:customStyle="1" w:styleId="FootnoteTextChar1">
    <w:name w:val="Footnote Text Char1"/>
    <w:link w:val="FootnoteText"/>
    <w:uiPriority w:val="99"/>
    <w:semiHidden/>
    <w:locked/>
    <w:rsid w:val="00D728AE"/>
    <w:rPr>
      <w:rFonts w:ascii=".VnTime" w:eastAsia="Times New Roman" w:hAnsi=".VnTime" w:cs="Times New Roman"/>
      <w:color w:val="000000"/>
      <w:sz w:val="20"/>
      <w:szCs w:val="20"/>
      <w:lang w:val="x-none" w:eastAsia="x-none"/>
    </w:rPr>
  </w:style>
  <w:style w:type="character" w:customStyle="1" w:styleId="HeaderChar1">
    <w:name w:val="Header Char1"/>
    <w:uiPriority w:val="99"/>
    <w:semiHidden/>
    <w:locked/>
    <w:rsid w:val="00D728AE"/>
    <w:rPr>
      <w:rFonts w:eastAsia="Times New Roman" w:cs="Times New Roman"/>
      <w:color w:val="000000"/>
      <w:sz w:val="25"/>
      <w:szCs w:val="25"/>
      <w:lang w:val="x-none" w:eastAsia="x-none"/>
    </w:rPr>
  </w:style>
  <w:style w:type="character" w:customStyle="1" w:styleId="FooterChar1">
    <w:name w:val="Footer Char1"/>
    <w:uiPriority w:val="99"/>
    <w:semiHidden/>
    <w:locked/>
    <w:rsid w:val="00D728AE"/>
    <w:rPr>
      <w:rFonts w:eastAsia="Times New Roman" w:cs="Times New Roman"/>
      <w:color w:val="000000"/>
      <w:sz w:val="25"/>
      <w:szCs w:val="25"/>
      <w:lang w:val="x-none" w:eastAsia="x-none"/>
    </w:rPr>
  </w:style>
  <w:style w:type="character" w:customStyle="1" w:styleId="BodyTextIndent2Char1">
    <w:name w:val="Body Text Indent 2 Char1"/>
    <w:uiPriority w:val="99"/>
    <w:semiHidden/>
    <w:locked/>
    <w:rsid w:val="00D728AE"/>
    <w:rPr>
      <w:rFonts w:ascii=".VnTime" w:eastAsia="Times New Roman" w:hAnsi=".VnTime" w:cs="Times New Roman"/>
      <w:sz w:val="28"/>
      <w:szCs w:val="24"/>
      <w:lang w:val="x-none" w:eastAsia="x-none"/>
    </w:rPr>
  </w:style>
  <w:style w:type="character" w:customStyle="1" w:styleId="BodyTextIndent3Char1">
    <w:name w:val="Body Text Indent 3 Char1"/>
    <w:link w:val="BodyTextIndent3"/>
    <w:uiPriority w:val="99"/>
    <w:semiHidden/>
    <w:locked/>
    <w:rsid w:val="00D728AE"/>
    <w:rPr>
      <w:rFonts w:ascii=".VnTime" w:eastAsia="Times New Roman" w:hAnsi=".VnTime" w:cs="Times New Roman"/>
      <w:b/>
      <w:color w:val="000000"/>
      <w:sz w:val="28"/>
      <w:szCs w:val="20"/>
      <w:lang w:val="en-GB" w:eastAsia="x-none"/>
    </w:rPr>
  </w:style>
  <w:style w:type="character" w:customStyle="1" w:styleId="PlainTextChar1">
    <w:name w:val="Plain Text Char1"/>
    <w:link w:val="PlainText"/>
    <w:uiPriority w:val="99"/>
    <w:semiHidden/>
    <w:locked/>
    <w:rsid w:val="00D728AE"/>
    <w:rPr>
      <w:rFonts w:ascii="Courier New" w:eastAsia="Times New Roman" w:hAnsi="Courier New" w:cs="Times New Roman"/>
      <w:color w:val="00000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718407">
      <w:bodyDiv w:val="1"/>
      <w:marLeft w:val="0"/>
      <w:marRight w:val="0"/>
      <w:marTop w:val="0"/>
      <w:marBottom w:val="0"/>
      <w:divBdr>
        <w:top w:val="none" w:sz="0" w:space="0" w:color="auto"/>
        <w:left w:val="none" w:sz="0" w:space="0" w:color="auto"/>
        <w:bottom w:val="none" w:sz="0" w:space="0" w:color="auto"/>
        <w:right w:val="none" w:sz="0" w:space="0" w:color="auto"/>
      </w:divBdr>
    </w:div>
    <w:div w:id="603801996">
      <w:bodyDiv w:val="1"/>
      <w:marLeft w:val="0"/>
      <w:marRight w:val="0"/>
      <w:marTop w:val="0"/>
      <w:marBottom w:val="0"/>
      <w:divBdr>
        <w:top w:val="none" w:sz="0" w:space="0" w:color="auto"/>
        <w:left w:val="none" w:sz="0" w:space="0" w:color="auto"/>
        <w:bottom w:val="none" w:sz="0" w:space="0" w:color="auto"/>
        <w:right w:val="none" w:sz="0" w:space="0" w:color="auto"/>
      </w:divBdr>
      <w:divsChild>
        <w:div w:id="695548706">
          <w:marLeft w:val="0"/>
          <w:marRight w:val="0"/>
          <w:marTop w:val="0"/>
          <w:marBottom w:val="0"/>
          <w:divBdr>
            <w:top w:val="none" w:sz="0" w:space="0" w:color="auto"/>
            <w:left w:val="none" w:sz="0" w:space="0" w:color="auto"/>
            <w:bottom w:val="none" w:sz="0" w:space="0" w:color="auto"/>
            <w:right w:val="none" w:sz="0" w:space="0" w:color="auto"/>
          </w:divBdr>
        </w:div>
      </w:divsChild>
    </w:div>
    <w:div w:id="882595634">
      <w:bodyDiv w:val="1"/>
      <w:marLeft w:val="0"/>
      <w:marRight w:val="0"/>
      <w:marTop w:val="0"/>
      <w:marBottom w:val="0"/>
      <w:divBdr>
        <w:top w:val="none" w:sz="0" w:space="0" w:color="auto"/>
        <w:left w:val="none" w:sz="0" w:space="0" w:color="auto"/>
        <w:bottom w:val="none" w:sz="0" w:space="0" w:color="auto"/>
        <w:right w:val="none" w:sz="0" w:space="0" w:color="auto"/>
      </w:divBdr>
    </w:div>
    <w:div w:id="1226600382">
      <w:bodyDiv w:val="1"/>
      <w:marLeft w:val="0"/>
      <w:marRight w:val="0"/>
      <w:marTop w:val="0"/>
      <w:marBottom w:val="0"/>
      <w:divBdr>
        <w:top w:val="none" w:sz="0" w:space="0" w:color="auto"/>
        <w:left w:val="none" w:sz="0" w:space="0" w:color="auto"/>
        <w:bottom w:val="none" w:sz="0" w:space="0" w:color="auto"/>
        <w:right w:val="none" w:sz="0" w:space="0" w:color="auto"/>
      </w:divBdr>
    </w:div>
    <w:div w:id="1386223119">
      <w:bodyDiv w:val="1"/>
      <w:marLeft w:val="0"/>
      <w:marRight w:val="0"/>
      <w:marTop w:val="0"/>
      <w:marBottom w:val="0"/>
      <w:divBdr>
        <w:top w:val="none" w:sz="0" w:space="0" w:color="auto"/>
        <w:left w:val="none" w:sz="0" w:space="0" w:color="auto"/>
        <w:bottom w:val="none" w:sz="0" w:space="0" w:color="auto"/>
        <w:right w:val="none" w:sz="0" w:space="0" w:color="auto"/>
      </w:divBdr>
    </w:div>
    <w:div w:id="15937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2017-11-15T15:48:00Z</dcterms:created>
  <dcterms:modified xsi:type="dcterms:W3CDTF">2017-11-15T15:48:00Z</dcterms:modified>
</cp:coreProperties>
</file>